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03CB7">
      <w:pPr>
        <w:spacing w:line="500" w:lineRule="exact"/>
        <w:jc w:val="center"/>
        <w:rPr>
          <w:rFonts w:hint="eastAsia" w:ascii="宋体" w:hAnsi="宋体" w:cs="宋体"/>
          <w:b/>
          <w:sz w:val="48"/>
          <w:szCs w:val="48"/>
        </w:rPr>
      </w:pPr>
      <w:r>
        <w:rPr>
          <w:rFonts w:hint="eastAsia" w:eastAsia="华文仿宋"/>
          <w:b/>
          <w:sz w:val="48"/>
          <w:szCs w:val="48"/>
        </w:rPr>
        <w:t xml:space="preserve">技 </w:t>
      </w:r>
      <w:r>
        <w:rPr>
          <w:rFonts w:hint="eastAsia" w:ascii="宋体" w:hAnsi="宋体" w:cs="宋体"/>
          <w:b/>
          <w:sz w:val="48"/>
          <w:szCs w:val="48"/>
        </w:rPr>
        <w:t xml:space="preserve">术 协 议 </w:t>
      </w:r>
      <w:r>
        <w:rPr>
          <w:rFonts w:hint="eastAsia" w:ascii="黑体" w:eastAsia="黑体"/>
          <w:b/>
          <w:color w:val="000000"/>
          <w:sz w:val="44"/>
          <w:szCs w:val="44"/>
          <w:u w:val="single"/>
        </w:rPr>
        <w:t>书</w:t>
      </w:r>
    </w:p>
    <w:p w14:paraId="19D92261">
      <w:pPr>
        <w:pStyle w:val="3"/>
        <w:jc w:val="center"/>
        <w:rPr>
          <w:rFonts w:hint="eastAsia"/>
        </w:rPr>
      </w:pPr>
      <w:r>
        <w:rPr>
          <w:rFonts w:hint="eastAsia"/>
        </w:rPr>
        <w:t>TECHNICAL AGREEMENT</w:t>
      </w:r>
    </w:p>
    <w:p w14:paraId="13772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船名：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  <w:u w:val="single"/>
        </w:rPr>
        <w:t>世纪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梦想</w:t>
      </w:r>
      <w:r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  <w:t>”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游轮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4"/>
          <w:szCs w:val="24"/>
        </w:rPr>
        <w:t>入级标志：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CCS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0DD68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7206E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2025.0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29</w:t>
      </w:r>
      <w:r>
        <w:rPr>
          <w:rFonts w:hint="eastAsia" w:ascii="宋体" w:hAnsi="宋体" w:eastAsia="宋体" w:cs="宋体"/>
          <w:sz w:val="24"/>
          <w:szCs w:val="24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 xml:space="preserve">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挂旗（船籍）：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eastAsia="zh-CN"/>
        </w:rPr>
        <w:t>中国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37A363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23093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型号：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A级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防火门</w:t>
      </w:r>
    </w:p>
    <w:p w14:paraId="04175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2BFAA9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设计院：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武汉长江船舶设计院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代表签字/日期：</w:t>
      </w:r>
    </w:p>
    <w:p w14:paraId="4CA427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项目联系人：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联系电话：</w:t>
      </w:r>
    </w:p>
    <w:p w14:paraId="52AB8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4BD3F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船东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（买方）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重庆冠达世纪游轮有限公司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代表签字/日期：</w:t>
      </w:r>
    </w:p>
    <w:p w14:paraId="04D313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项目联系人：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联系电话：</w:t>
      </w:r>
    </w:p>
    <w:p w14:paraId="470F7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56B8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制造厂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（卖方）</w:t>
      </w:r>
      <w:r>
        <w:rPr>
          <w:rFonts w:hint="eastAsia" w:ascii="宋体" w:hAnsi="宋体" w:eastAsia="宋体" w:cs="宋体"/>
          <w:sz w:val="24"/>
          <w:szCs w:val="24"/>
        </w:rPr>
        <w:t xml:space="preserve">：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代表签字/日期：</w:t>
      </w:r>
    </w:p>
    <w:p w14:paraId="44E23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项目联系人：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联系电话：</w:t>
      </w:r>
    </w:p>
    <w:p w14:paraId="56DD0DB3">
      <w:pPr>
        <w:spacing w:line="276" w:lineRule="auto"/>
        <w:jc w:val="center"/>
        <w:rPr>
          <w:rFonts w:hint="eastAsia" w:ascii="黑体" w:hAnsi="黑体" w:eastAsia="黑体" w:cs="黑体"/>
          <w:b/>
          <w:bCs/>
          <w:sz w:val="52"/>
          <w:szCs w:val="52"/>
          <w:lang w:eastAsia="zh-CN"/>
        </w:rPr>
      </w:pPr>
    </w:p>
    <w:p w14:paraId="47B9D3AD">
      <w:pPr>
        <w:spacing w:line="276" w:lineRule="auto"/>
        <w:jc w:val="center"/>
        <w:rPr>
          <w:rFonts w:hint="eastAsia" w:ascii="黑体" w:hAnsi="黑体" w:eastAsia="黑体" w:cs="黑体"/>
          <w:b/>
          <w:bCs/>
          <w:sz w:val="52"/>
          <w:szCs w:val="52"/>
          <w:lang w:eastAsia="zh-CN"/>
        </w:rPr>
      </w:pPr>
    </w:p>
    <w:p w14:paraId="0DA32EC9">
      <w:pPr>
        <w:spacing w:line="276" w:lineRule="auto"/>
        <w:jc w:val="center"/>
        <w:rPr>
          <w:rFonts w:hint="eastAsia" w:ascii="黑体" w:hAnsi="黑体" w:eastAsia="黑体" w:cs="黑体"/>
          <w:b/>
          <w:bCs/>
          <w:sz w:val="52"/>
          <w:szCs w:val="52"/>
          <w:lang w:eastAsia="zh-CN"/>
        </w:rPr>
      </w:pPr>
    </w:p>
    <w:p w14:paraId="1BCA2E04">
      <w:pPr>
        <w:spacing w:line="276" w:lineRule="auto"/>
        <w:jc w:val="center"/>
        <w:rPr>
          <w:rFonts w:hint="eastAsia" w:ascii="黑体" w:hAnsi="黑体" w:eastAsia="黑体" w:cs="黑体"/>
          <w:b/>
          <w:bCs/>
          <w:sz w:val="52"/>
          <w:szCs w:val="52"/>
          <w:lang w:eastAsia="zh-CN"/>
        </w:rPr>
      </w:pPr>
    </w:p>
    <w:p w14:paraId="766367BF">
      <w:pPr>
        <w:spacing w:line="276" w:lineRule="auto"/>
        <w:jc w:val="center"/>
        <w:rPr>
          <w:rFonts w:hint="eastAsia" w:ascii="黑体" w:hAnsi="黑体" w:eastAsia="黑体" w:cs="黑体"/>
          <w:b/>
          <w:bCs/>
          <w:sz w:val="52"/>
          <w:szCs w:val="52"/>
          <w:lang w:eastAsia="zh-CN"/>
        </w:rPr>
      </w:pPr>
    </w:p>
    <w:p w14:paraId="6AEC6739">
      <w:pPr>
        <w:spacing w:line="276" w:lineRule="auto"/>
        <w:jc w:val="center"/>
        <w:rPr>
          <w:rFonts w:hint="eastAsia" w:ascii="黑体" w:hAnsi="黑体" w:eastAsia="黑体" w:cs="黑体"/>
          <w:b/>
          <w:bCs/>
          <w:sz w:val="52"/>
          <w:szCs w:val="52"/>
          <w:lang w:eastAsia="zh-CN"/>
        </w:rPr>
      </w:pPr>
    </w:p>
    <w:p w14:paraId="1917790B">
      <w:pPr>
        <w:spacing w:line="160" w:lineRule="atLeast"/>
        <w:ind w:firstLine="4176" w:firstLineChars="1300"/>
        <w:rPr>
          <w:rFonts w:hint="eastAsia"/>
          <w:b/>
          <w:sz w:val="32"/>
          <w:szCs w:val="32"/>
        </w:rPr>
      </w:pPr>
    </w:p>
    <w:p w14:paraId="42C78B09">
      <w:pPr>
        <w:spacing w:line="160" w:lineRule="atLeast"/>
        <w:ind w:firstLine="4176" w:firstLineChars="1300"/>
        <w:rPr>
          <w:rFonts w:hint="eastAsia"/>
          <w:b/>
          <w:sz w:val="32"/>
          <w:szCs w:val="32"/>
        </w:rPr>
      </w:pPr>
    </w:p>
    <w:p w14:paraId="3CCFF549">
      <w:pPr>
        <w:spacing w:line="160" w:lineRule="atLeast"/>
        <w:ind w:firstLine="4176" w:firstLineChars="13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通用条款</w:t>
      </w:r>
    </w:p>
    <w:p w14:paraId="330EC55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概述</w:t>
      </w:r>
    </w:p>
    <w:p w14:paraId="3AF93584"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订货合同签订之后，本协议作为订货合同的附件，与合同具有同等效力。现行适用的规范、规则、公约及修改通报所要求的条款，即使本协议未提及亦应免费提供。</w:t>
      </w:r>
    </w:p>
    <w:p w14:paraId="309A3B65"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设备及材料应满足合同签订时的如下公约、规范和规则的最新要求：</w:t>
      </w:r>
    </w:p>
    <w:p w14:paraId="34BA72F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中国船级社（CCS）《国内航行海船建造规范》及历年修改通报；</w:t>
      </w:r>
    </w:p>
    <w:p w14:paraId="533C3D7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中国船级社（CCS）《材料与焊接规范》；</w:t>
      </w:r>
    </w:p>
    <w:p w14:paraId="4C50805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中华人民共和国海事局《船舶与海上设施法定检验规则•国内航行海船法定检验技术规则》及历年修改通报；</w:t>
      </w:r>
    </w:p>
    <w:p w14:paraId="4072AF9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本船还需满足在船舶建造周期内规范、规则及公约修改的要求；</w:t>
      </w:r>
    </w:p>
    <w:p w14:paraId="29DCDD4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本船设计图纸送CCS审图中心审图，按CCS的规范和规则进行建造和检验。</w:t>
      </w:r>
    </w:p>
    <w:p w14:paraId="5A172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1.4.卖方的送审图纸应满足买方的安装设计要求。</w:t>
      </w:r>
    </w:p>
    <w:p w14:paraId="16A59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1.5卖方需保证向买方提供与工作图（根据退审意见修改后的图纸）相一致的设备，若生产过程中需有任何的改动，应及时联系买方并征得同意，</w:t>
      </w:r>
      <w:r>
        <w:rPr>
          <w:rFonts w:hint="eastAsia" w:ascii="仿宋" w:hAnsi="仿宋" w:eastAsia="仿宋" w:cs="仿宋"/>
          <w:sz w:val="24"/>
          <w:szCs w:val="24"/>
          <w:em w:val="dot"/>
        </w:rPr>
        <w:t>并书面作出修改标记及说明</w:t>
      </w:r>
      <w:r>
        <w:rPr>
          <w:rFonts w:hint="eastAsia" w:ascii="仿宋" w:hAnsi="仿宋" w:eastAsia="仿宋" w:cs="仿宋"/>
          <w:sz w:val="24"/>
          <w:szCs w:val="24"/>
        </w:rPr>
        <w:t xml:space="preserve">寄给买方。 </w:t>
      </w:r>
    </w:p>
    <w:p w14:paraId="6D0FD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2.基本技术要求</w:t>
      </w:r>
    </w:p>
    <w:p w14:paraId="05401D0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环境温度： 0℃ ～45℃（舱内设备）   -25℃ ～ 40℃（开敞甲板）相对湿度：≤90%，有凝雾；</w:t>
      </w:r>
    </w:p>
    <w:p w14:paraId="5306B39D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倾斜摇摆：横摇：±22.5°横倾：±22.5°纵倾：±10°（针对应急电气设备、开关设备、电器和电子设备），其它设备：横摇：±15°横倾：±22.5°纵倾：±5°有冲击振动﹑盐雾﹑油雾和霉菌</w:t>
      </w:r>
    </w:p>
    <w:p w14:paraId="5844D573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必须满足的规范和规则：CCS       </w:t>
      </w:r>
    </w:p>
    <w:p w14:paraId="5D8CA369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提供证书(1正3副)：工厂合格证或质量证书；试验报告；</w:t>
      </w:r>
    </w:p>
    <w:p w14:paraId="63F60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要求提供的证书(1正3副)：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color w:val="000000"/>
          <w:sz w:val="24"/>
          <w:szCs w:val="24"/>
        </w:rPr>
        <w:instrText xml:space="preserve"> MACROBUTTON UncheckIt </w:instrText>
      </w:r>
      <w:r>
        <w:rPr>
          <w:rFonts w:hint="eastAsia" w:ascii="仿宋" w:hAnsi="仿宋" w:eastAsia="仿宋" w:cs="仿宋"/>
          <w:color w:val="000000"/>
          <w:sz w:val="24"/>
          <w:szCs w:val="24"/>
        </w:rPr>
        <w:sym w:font="Wingdings" w:char="F0FE"/>
      </w:r>
      <w:r>
        <w:rPr>
          <w:rFonts w:hint="eastAsia" w:ascii="仿宋" w:hAnsi="仿宋" w:eastAsia="仿宋" w:cs="仿宋"/>
          <w:color w:val="000000"/>
          <w:sz w:val="24"/>
          <w:szCs w:val="24"/>
        </w:rPr>
        <w:fldChar w:fldCharType="end"/>
      </w:r>
      <w:r>
        <w:rPr>
          <w:rFonts w:hint="eastAsia" w:ascii="仿宋" w:hAnsi="仿宋" w:eastAsia="仿宋" w:cs="仿宋"/>
          <w:color w:val="000000"/>
          <w:sz w:val="24"/>
          <w:szCs w:val="24"/>
        </w:rPr>
        <w:t>CCS船用产品证书；</w:t>
      </w:r>
      <w:r>
        <w:rPr>
          <w:rFonts w:hint="eastAsia" w:ascii="仿宋" w:hAnsi="仿宋" w:eastAsia="仿宋" w:cs="仿宋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</w:rPr>
        <w:instrText xml:space="preserve"> MACROBUTTON CheckIt </w:instrText>
      </w:r>
      <w:r>
        <w:rPr>
          <w:rFonts w:hint="eastAsia" w:ascii="仿宋" w:hAnsi="仿宋" w:eastAsia="仿宋" w:cs="仿宋"/>
          <w:sz w:val="24"/>
          <w:szCs w:val="24"/>
        </w:rPr>
        <w:sym w:font="Wingdings" w:char="F0A8"/>
      </w:r>
      <w:r>
        <w:rPr>
          <w:rFonts w:hint="eastAsia" w:ascii="仿宋" w:hAnsi="仿宋" w:eastAsia="仿宋" w:cs="仿宋"/>
          <w:sz w:val="24"/>
          <w:szCs w:val="24"/>
        </w:rPr>
        <w:fldChar w:fldCharType="end"/>
      </w:r>
      <w:r>
        <w:rPr>
          <w:rFonts w:hint="eastAsia" w:ascii="仿宋" w:hAnsi="仿宋" w:eastAsia="仿宋" w:cs="仿宋"/>
          <w:sz w:val="24"/>
          <w:szCs w:val="24"/>
        </w:rPr>
        <w:t>CCS型式认可证书；</w:t>
      </w:r>
      <w:r>
        <w:rPr>
          <w:rFonts w:hint="eastAsia" w:ascii="仿宋" w:hAnsi="仿宋" w:eastAsia="仿宋" w:cs="仿宋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</w:rPr>
        <w:instrText xml:space="preserve"> MACROBUTTON CheckIt </w:instrText>
      </w:r>
      <w:r>
        <w:rPr>
          <w:rFonts w:hint="eastAsia" w:ascii="仿宋" w:hAnsi="仿宋" w:eastAsia="仿宋" w:cs="仿宋"/>
          <w:sz w:val="24"/>
          <w:szCs w:val="24"/>
        </w:rPr>
        <w:sym w:font="Wingdings" w:char="F0A8"/>
      </w:r>
      <w:r>
        <w:rPr>
          <w:rFonts w:hint="eastAsia" w:ascii="仿宋" w:hAnsi="仿宋" w:eastAsia="仿宋" w:cs="仿宋"/>
          <w:sz w:val="24"/>
          <w:szCs w:val="24"/>
        </w:rPr>
        <w:fldChar w:fldCharType="end"/>
      </w:r>
      <w:r>
        <w:rPr>
          <w:rFonts w:hint="eastAsia" w:ascii="仿宋" w:hAnsi="仿宋" w:eastAsia="仿宋" w:cs="仿宋"/>
          <w:sz w:val="24"/>
          <w:szCs w:val="24"/>
        </w:rPr>
        <w:t>有关机构证书；</w:t>
      </w:r>
    </w:p>
    <w:p w14:paraId="547C36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FF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由政府认可部门发给的符合IMO中要求的文件(1正3副)： </w:t>
      </w:r>
      <w:r>
        <w:rPr>
          <w:rFonts w:hint="eastAsia" w:ascii="仿宋" w:hAnsi="仿宋" w:eastAsia="仿宋" w:cs="仿宋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</w:rPr>
        <w:instrText xml:space="preserve"> MACROBUTTON CheckIt </w:instrText>
      </w:r>
      <w:r>
        <w:rPr>
          <w:rFonts w:hint="eastAsia" w:ascii="仿宋" w:hAnsi="仿宋" w:eastAsia="仿宋" w:cs="仿宋"/>
          <w:sz w:val="24"/>
          <w:szCs w:val="24"/>
        </w:rPr>
        <w:sym w:font="Wingdings" w:char="F0A8"/>
      </w:r>
      <w:r>
        <w:rPr>
          <w:rFonts w:hint="eastAsia" w:ascii="仿宋" w:hAnsi="仿宋" w:eastAsia="仿宋" w:cs="仿宋"/>
          <w:sz w:val="24"/>
          <w:szCs w:val="24"/>
        </w:rPr>
        <w:fldChar w:fldCharType="end"/>
      </w:r>
      <w:r>
        <w:rPr>
          <w:rFonts w:hint="eastAsia" w:ascii="仿宋" w:hAnsi="仿宋" w:eastAsia="仿宋" w:cs="仿宋"/>
          <w:sz w:val="24"/>
          <w:szCs w:val="24"/>
        </w:rPr>
        <w:t xml:space="preserve">提供；        </w:t>
      </w:r>
      <w:r>
        <w:rPr>
          <w:rFonts w:hint="eastAsia" w:ascii="仿宋" w:hAnsi="仿宋" w:eastAsia="仿宋" w:cs="仿宋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</w:rPr>
        <w:instrText xml:space="preserve"> MACROBUTTON CheckIt </w:instrText>
      </w:r>
      <w:r>
        <w:rPr>
          <w:rFonts w:hint="eastAsia" w:ascii="仿宋" w:hAnsi="仿宋" w:eastAsia="仿宋" w:cs="仿宋"/>
          <w:sz w:val="24"/>
          <w:szCs w:val="24"/>
        </w:rPr>
        <w:sym w:font="Wingdings" w:char="F0A8"/>
      </w:r>
      <w:r>
        <w:rPr>
          <w:rFonts w:hint="eastAsia" w:ascii="仿宋" w:hAnsi="仿宋" w:eastAsia="仿宋" w:cs="仿宋"/>
          <w:sz w:val="24"/>
          <w:szCs w:val="24"/>
        </w:rPr>
        <w:fldChar w:fldCharType="end"/>
      </w:r>
      <w:r>
        <w:rPr>
          <w:rFonts w:hint="eastAsia" w:ascii="仿宋" w:hAnsi="仿宋" w:eastAsia="仿宋" w:cs="仿宋"/>
          <w:sz w:val="24"/>
          <w:szCs w:val="24"/>
        </w:rPr>
        <w:t>不提供</w:t>
      </w:r>
    </w:p>
    <w:p w14:paraId="1E8A060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所有设备、材料不可使用石棉制品；出具无石棉声明：</w:t>
      </w:r>
      <w:r>
        <w:rPr>
          <w:rFonts w:hint="eastAsia" w:ascii="仿宋" w:hAnsi="仿宋" w:eastAsia="仿宋" w:cs="仿宋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</w:rPr>
        <w:instrText xml:space="preserve"> MACROBUTTON UncheckIt </w:instrText>
      </w:r>
      <w:r>
        <w:rPr>
          <w:rFonts w:hint="eastAsia" w:ascii="仿宋" w:hAnsi="仿宋" w:eastAsia="仿宋" w:cs="仿宋"/>
          <w:sz w:val="24"/>
          <w:szCs w:val="24"/>
        </w:rPr>
        <w:sym w:font="Wingdings" w:char="F0FE"/>
      </w:r>
      <w:r>
        <w:rPr>
          <w:rFonts w:hint="eastAsia" w:ascii="仿宋" w:hAnsi="仿宋" w:eastAsia="仿宋" w:cs="仿宋"/>
          <w:sz w:val="24"/>
          <w:szCs w:val="24"/>
        </w:rPr>
        <w:fldChar w:fldCharType="end"/>
      </w:r>
      <w:r>
        <w:rPr>
          <w:rFonts w:hint="eastAsia" w:ascii="仿宋" w:hAnsi="仿宋" w:eastAsia="仿宋" w:cs="仿宋"/>
          <w:sz w:val="24"/>
          <w:szCs w:val="24"/>
        </w:rPr>
        <w:t xml:space="preserve">卖方提供       </w:t>
      </w:r>
      <w:r>
        <w:rPr>
          <w:rFonts w:hint="eastAsia" w:ascii="仿宋" w:hAnsi="仿宋" w:eastAsia="仿宋" w:cs="仿宋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</w:rPr>
        <w:instrText xml:space="preserve"> MACROBUTTON CheckIt </w:instrText>
      </w:r>
      <w:r>
        <w:rPr>
          <w:rFonts w:hint="eastAsia" w:ascii="仿宋" w:hAnsi="仿宋" w:eastAsia="仿宋" w:cs="仿宋"/>
          <w:sz w:val="24"/>
          <w:szCs w:val="24"/>
        </w:rPr>
        <w:sym w:font="Wingdings" w:char="F0A8"/>
      </w:r>
      <w:r>
        <w:rPr>
          <w:rFonts w:hint="eastAsia" w:ascii="仿宋" w:hAnsi="仿宋" w:eastAsia="仿宋" w:cs="仿宋"/>
          <w:sz w:val="24"/>
          <w:szCs w:val="24"/>
        </w:rPr>
        <w:fldChar w:fldCharType="end"/>
      </w:r>
      <w:r>
        <w:rPr>
          <w:rFonts w:hint="eastAsia" w:ascii="仿宋" w:hAnsi="仿宋" w:eastAsia="仿宋" w:cs="仿宋"/>
          <w:sz w:val="24"/>
          <w:szCs w:val="24"/>
        </w:rPr>
        <w:t>卖方不提供</w:t>
      </w:r>
    </w:p>
    <w:p w14:paraId="151F11B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计量单位：除了满足中华人民共和国法定计量单位。</w:t>
      </w:r>
      <w:r>
        <w:rPr>
          <w:rFonts w:hint="eastAsia" w:ascii="仿宋" w:hAnsi="仿宋" w:eastAsia="仿宋" w:cs="仿宋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4133850</wp:posOffset>
                </wp:positionH>
                <wp:positionV relativeFrom="paragraph">
                  <wp:posOffset>44450</wp:posOffset>
                </wp:positionV>
                <wp:extent cx="635" cy="0"/>
                <wp:effectExtent l="0" t="4445" r="0" b="5080"/>
                <wp:wrapTopAndBottom/>
                <wp:docPr id="3" name="直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1" o:spid="_x0000_s1026" o:spt="20" style="position:absolute;left:0pt;margin-left:325.5pt;margin-top:3.5pt;height:0pt;width:0.05pt;mso-wrap-distance-bottom:0pt;mso-wrap-distance-top:0pt;z-index:251659264;mso-width-relative:page;mso-height-relative:page;" filled="f" stroked="t" coordsize="21600,21600" o:allowincell="f" o:gfxdata="UEsDBAoAAAAAAIdO4kAAAAAAAAAAAAAAAAAEAAAAZHJzL1BLAwQUAAAACACHTuJA1SbTFtQAAAAH&#10;AQAADwAAAGRycy9kb3ducmV2LnhtbE2PTU/DMAyG70j7D5GRuEws6RADlaY7DHrjwgBx9RrTVjRO&#10;12Qf8OvxuIyT9ei1Xj8ulkffqz2NsQtsIZsZUMR1cB03Ft5eq+t7UDEhO+wDk4VvirAsJxcF5i4c&#10;+IX269QoKeGYo4U2pSHXOtYteYyzMBBL9hlGj0lwbLQb8SDlvtdzYxbaY8dyocWBVi3VX+udtxCr&#10;d9pWP9N6aj5umkDz7ePzE1p7dZmZB1CJjum8DCd9UYdSnDZhxy6q3sLiNpNfkoU7GZILZ6A2f6zL&#10;Qv/3L38BUEsDBBQAAAAIAIdO4kAkqPxu6gEAAOYDAAAOAAAAZHJzL2Uyb0RvYy54bWytU0tu2zAQ&#10;3RfoHQjua9kOErSC5SzipJuiNdD2AGOSkgjwBw5t2WfpNbrqpsfJNTqkFDdNN15EC2pIzryZ92a4&#10;uj1aww4qovau4YvZnDPlhJfadQ3//u3h3XvOMIGTYLxTDT8p5Lfrt29WQ6jV0vfeSBUZgTish9Dw&#10;PqVQVxWKXlnAmQ/K0WXro4VE29hVMsJA6NZUy/n8php8lCF6oRDpdDNe8gkxXgLo21YLtfFib5VL&#10;I2pUBhJRwl4H5OtSbdsqkb60LarETMOJaSorJSF7l9dqvYK6ixB6LaYS4JISXnCyoB0lPUNtIAHb&#10;R/0flNUievRtmglvq5FIUYRYLOYvtPnaQ1CFC0mN4Sw6vh6s+HzYRqZlw684c2Cp4Y8/fj7++s2W&#10;iyzOELAmnzu3jdMOwzZmpsc22vwnDuxYBD2dBVXHxAQd3lxdcyaezqu/QSFi+qi8ZdlouNEu84Qa&#10;Dp8wUSJyfXLJx8axoeEfrpcZDmjoWmo2mTZQ4ei6EoveaPmgjckRGLvdnYnsALnx5ct0CPcft5xk&#10;A9iPfuVqHIlegbx3kqVTIEkcvQSeS7BKcmYUPZxsESDUCbS5xJNSG5cDVBnLiWfWd1Q0WzsvT9SO&#10;fYi660mX0oIq31D7S/XTqOb5er4n+/nzXP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1SbTFtQA&#10;AAAHAQAADwAAAAAAAAABACAAAAAiAAAAZHJzL2Rvd25yZXYueG1sUEsBAhQAFAAAAAgAh07iQCSo&#10;/G7qAQAA5gMAAA4AAAAAAAAAAQAgAAAAIw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35560</wp:posOffset>
                </wp:positionV>
                <wp:extent cx="635" cy="0"/>
                <wp:effectExtent l="0" t="4445" r="0" b="5080"/>
                <wp:wrapTopAndBottom/>
                <wp:docPr id="4" name="直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2" o:spid="_x0000_s1026" o:spt="20" style="position:absolute;left:0pt;margin-left:115.5pt;margin-top:2.8pt;height:0pt;width:0.05pt;mso-wrap-distance-bottom:0pt;mso-wrap-distance-top:0pt;z-index:251659264;mso-width-relative:page;mso-height-relative:page;" filled="f" stroked="t" coordsize="21600,21600" o:allowincell="f" o:gfxdata="UEsDBAoAAAAAAIdO4kAAAAAAAAAAAAAAAAAEAAAAZHJzL1BLAwQUAAAACACHTuJActhvMdMAAAAH&#10;AQAADwAAAGRycy9kb3ducmV2LnhtbE2Py07DMBBF90j8gzVIbKrWTioqlMbpAsiODQXEdhoPSUQ8&#10;TmP3AV/PwAaWR3d075lyc/aDOtIU+8AWsoUBRdwE13Nr4eW5nt+CignZ4RCYLHxShE11eVFi4cKJ&#10;n+i4Ta2SEo4FWuhSGgutY9ORx7gII7Fk72HymASnVrsJT1LuB50bs9Iee5aFDke666j52B68hVi/&#10;0r7+mjUz87ZsA+X7+8cHtPb6KjNrUInO6e8YfvRFHSpx2oUDu6gGC/kyk1+ShZsVKMmFM1C7X9ZV&#10;qf/7V99QSwMEFAAAAAgAh07iQJX/s97qAQAA5gMAAA4AAABkcnMvZTJvRG9jLnhtbK1TzY7TMBC+&#10;I/EOlu80bZddQdR0D1uWC4JKwANMbSex5D953KZ9Fl6DExceZ1+DsZMty3LpYXNwxvbMN/N9M17d&#10;Hq1hBxVRe9fwxWzOmXLCS+26hn//dv/mHWeYwEkw3qmGnxTy2/XrV6sh1Grpe2+kioxAHNZDaHif&#10;UqirCkWvLODMB+XosvXRQqJt7CoZYSB0a6rlfH5TDT7KEL1QiHS6GS/5hBgvAfRtq4XaeLG3yqUR&#10;NSoDiShhrwPydam2bZVIX9oWVWKm4cQ0lZWSkL3La7VeQd1FCL0WUwlwSQnPOFnQjpKeoTaQgO2j&#10;/g/KahE9+jbNhLfVSKQoQiwW82fafO0hqMKFpMZwFh1fDlZ8Pmwj07LhbzlzYKnhDz9+Pvz6zZbL&#10;LM4QsCafO7eN0w7DNmamxzba/CcO7FgEPZ0FVcfEBB3eXF1zJh7Pq79BIWL6qLxl2Wi40S7zhBoO&#10;nzBRInJ9dMnHxrGh4e+vlxkOaOhaajaZNlDh6LoSi95oea+NyREYu92diewAufHly3QI9x+3nGQD&#10;2I9+5WociV6B/OAkS6dAkjh6CTyXYJXkzCh6ONkiQKgTaHOJJ6U2LgeoMpYTz6zvqGi2dl6eqB37&#10;EHXXky6LUnO+ofaX6qdRzfP1dE/20+e5/g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y2G8x0wAA&#10;AAcBAAAPAAAAAAAAAAEAIAAAACIAAABkcnMvZG93bnJldi54bWxQSwECFAAUAAAACACHTuJAlf+z&#10;3uoBAADmAwAADgAAAAAAAAABACAAAAAi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 w14:paraId="6DE50DA3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35560</wp:posOffset>
                </wp:positionV>
                <wp:extent cx="635" cy="0"/>
                <wp:effectExtent l="0" t="4445" r="0" b="5080"/>
                <wp:wrapTopAndBottom/>
                <wp:docPr id="2" name="直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" o:spid="_x0000_s1026" o:spt="20" style="position:absolute;left:0pt;margin-left:115.5pt;margin-top:2.8pt;height:0pt;width:0.05pt;mso-wrap-distance-bottom:0pt;mso-wrap-distance-top:0pt;z-index:251659264;mso-width-relative:page;mso-height-relative:page;" filled="f" stroked="t" coordsize="21600,21600" o:allowincell="f" o:gfxdata="UEsDBAoAAAAAAIdO4kAAAAAAAAAAAAAAAAAEAAAAZHJzL1BLAwQUAAAACACHTuJActhvMdMAAAAH&#10;AQAADwAAAGRycy9kb3ducmV2LnhtbE2Py07DMBBF90j8gzVIbKrWTioqlMbpAsiODQXEdhoPSUQ8&#10;TmP3AV/PwAaWR3d075lyc/aDOtIU+8AWsoUBRdwE13Nr4eW5nt+CignZ4RCYLHxShE11eVFi4cKJ&#10;n+i4Ta2SEo4FWuhSGgutY9ORx7gII7Fk72HymASnVrsJT1LuB50bs9Iee5aFDke666j52B68hVi/&#10;0r7+mjUz87ZsA+X7+8cHtPb6KjNrUInO6e8YfvRFHSpx2oUDu6gGC/kyk1+ShZsVKMmFM1C7X9ZV&#10;qf/7V99QSwMEFAAAAAgAh07iQPBxwOroAQAA5gMAAA4AAABkcnMvZTJvRG9jLnhtbK1TS27bMBDd&#10;F+gdCO5r2QoStILlLOKkm6I10PYANDmSCPAHDm3ZZ+k1uuqmx8k1OqQcJ003XlQLajgcvpn3Zri8&#10;PVjD9hBRe9fyxWzOGTjplXZ9y79/e3j3njNMwilhvIOWHwH57ertm+UYGqj94I2CyAjEYTOGlg8p&#10;haaqUA5gBc58AEeHnY9WJNrGvlJRjIRuTVXP5zfV6KMK0UtAJO96OuQnxHgJoO86LWHt5c6CSxNq&#10;BCMSUcJBB+SrUm3XgUxfug4hMdNyYprKSknI3ua1Wi1F00cRBi1PJYhLSnjFyQrtKOkZai2SYLuo&#10;/4GyWkaPvksz6W01ESmKEIvF/JU2XwcRoHAhqTGcRcf/Bys/7zeRadXymjMnLDX88cfPx1+/WV3E&#10;GQM2FHPnNpGkyjsMm5iZHrpo8584sEMR9HgWFA6JSXLeXF1zJp/81fOlEDF9BG9ZNlputMs8RSP2&#10;nzBRIgp9Cslu49jY8g/XdYYTNHQdNZtMG6hwdH25i95o9aCNyTcw9ts7E9le5MaXL/eacP8Ky0nW&#10;AocprhxNIzGAUPdOsXQMJImjl8BzCRYUZwbo4WSrDE8S2lwSSamNy6VBGcsTz2dFs7X16kjt2IWo&#10;+4F0WZSa8wm1v1R/GtU8Xy/3ZL98nqs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cthvMdMAAAAH&#10;AQAADwAAAAAAAAABACAAAAAiAAAAZHJzL2Rvd25yZXYueG1sUEsBAhQAFAAAAAgAh07iQPBxwOro&#10;AQAA5gMAAA4AAAAAAAAAAQAgAAAAIg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仿宋" w:hAnsi="仿宋" w:eastAsia="仿宋" w:cs="仿宋"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35560</wp:posOffset>
                </wp:positionV>
                <wp:extent cx="635" cy="0"/>
                <wp:effectExtent l="0" t="4445" r="0" b="5080"/>
                <wp:wrapTopAndBottom/>
                <wp:docPr id="1" name="直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9" o:spid="_x0000_s1026" o:spt="20" style="position:absolute;left:0pt;margin-left:115.5pt;margin-top:2.8pt;height:0pt;width:0.05pt;mso-wrap-distance-bottom:0pt;mso-wrap-distance-top:0pt;z-index:251659264;mso-width-relative:page;mso-height-relative:page;" filled="f" stroked="t" coordsize="21600,21600" o:allowincell="f" o:gfxdata="UEsDBAoAAAAAAIdO4kAAAAAAAAAAAAAAAAAEAAAAZHJzL1BLAwQUAAAACACHTuJActhvMdMAAAAH&#10;AQAADwAAAGRycy9kb3ducmV2LnhtbE2Py07DMBBF90j8gzVIbKrWTioqlMbpAsiODQXEdhoPSUQ8&#10;TmP3AV/PwAaWR3d075lyc/aDOtIU+8AWsoUBRdwE13Nr4eW5nt+CignZ4RCYLHxShE11eVFi4cKJ&#10;n+i4Ta2SEo4FWuhSGgutY9ORx7gII7Fk72HymASnVrsJT1LuB50bs9Iee5aFDke666j52B68hVi/&#10;0r7+mjUz87ZsA+X7+8cHtPb6KjNrUInO6e8YfvRFHSpx2oUDu6gGC/kyk1+ShZsVKMmFM1C7X9ZV&#10;qf/7V99QSwMEFAAAAAgAh07iQPRQd+HqAQAA5gMAAA4AAABkcnMvZTJvRG9jLnhtbK1TS27bMBDd&#10;F+gdCO5r2S4SNILlLOKkm6I10PYAY5KSCPAHDm3ZZ+k1uuqmx8k1OqQUN003XkQLakjOvJn3Zri6&#10;PVrDDiqi9q7hi9mcM+WEl9p1Df/+7eHdB84wgZNgvFMNPynkt+u3b1ZDqNXS995IFRmBOKyH0PA+&#10;pVBXFYpeWcCZD8rRZeujhUTb2FUywkDo1lTL+fy6GnyUIXqhEOl0M17yCTFeAujbVgu18WJvlUsj&#10;alQGElHCXgfk61Jt2yqRvrQtqsRMw4lpKislIXuX12q9grqLEHotphLgkhJecLKgHSU9Q20gAdtH&#10;/R+U1SJ69G2aCW+rkUhRhFgs5i+0+dpDUIULSY3hLDq+Hqz4fNhGpiVNAmcOLDX88cfPx1+/2eIm&#10;izMErMnnzm3jtMOwjZnpsY02/4kDOxZBT2dB1TExQYfX7684E0/n1d+gEDF9VN6ybDTcaJd5Qg2H&#10;T5goEbk+ueRj49jQ8JurZYYDGrqWmk2mDVQ4uq7EojdaPmhjcgTGbndnIjtAbnz5Mh3C/cctJ9kA&#10;9qNfuRpHolcg751k6RRIEkcvgecSrJKcGUUPJ1sECHUCbS7xpNTG5QBVxnLimfUdFc3WzssTtWMf&#10;ou560mVRas431P5S/TSqeb6e78l+/jzXf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y2G8x0wAA&#10;AAcBAAAPAAAAAAAAAAEAIAAAACIAAABkcnMvZG93bnJldi54bWxQSwECFAAUAAAACACHTuJA9FB3&#10;4eoBAADmAwAADgAAAAAAAAABACAAAAAi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仿宋" w:hAnsi="仿宋" w:eastAsia="仿宋" w:cs="仿宋"/>
          <w:color w:val="FF0000"/>
          <w:sz w:val="24"/>
          <w:szCs w:val="24"/>
        </w:rPr>
        <w:t>铭牌材料要求： 304不锈钢,铭牌文字要求：用中英文</w:t>
      </w:r>
      <w:r>
        <w:rPr>
          <w:rFonts w:hint="eastAsia" w:ascii="仿宋" w:hAnsi="仿宋" w:eastAsia="仿宋" w:cs="仿宋"/>
          <w:color w:val="FF0000"/>
          <w:sz w:val="24"/>
          <w:szCs w:val="24"/>
          <w:lang w:eastAsia="zh-CN"/>
        </w:rPr>
        <w:t>。</w:t>
      </w:r>
    </w:p>
    <w:p w14:paraId="502167C3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油漆颜色：在认可图中确认。</w:t>
      </w:r>
    </w:p>
    <w:p w14:paraId="6C487B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3.供图数量、要求：</w:t>
      </w:r>
    </w:p>
    <w:p w14:paraId="1BA4A996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认可图： 3套/每船； 同时提供电子版，图形文件提供CAD2004。  </w:t>
      </w:r>
    </w:p>
    <w:p w14:paraId="49A8F3D7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工作图（根据退审图意见修改后的图纸）3套/每船。同时提供电子版，图形文件提供CAD2004</w:t>
      </w:r>
      <w:r>
        <w:rPr>
          <w:rFonts w:hint="eastAsia" w:ascii="仿宋" w:hAnsi="仿宋" w:eastAsia="仿宋" w:cs="仿宋"/>
          <w:sz w:val="24"/>
          <w:szCs w:val="24"/>
        </w:rPr>
        <w:tab/>
      </w:r>
    </w:p>
    <w:p w14:paraId="0513A96E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完工图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：3套+1CD/每船。</w:t>
      </w:r>
    </w:p>
    <w:p w14:paraId="1A429F15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</w:rPr>
        <w:t>耐火舱室系统材料：防火门的施工设计由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卖</w:t>
      </w:r>
      <w:r>
        <w:rPr>
          <w:rFonts w:hint="eastAsia" w:ascii="仿宋" w:hAnsi="仿宋" w:eastAsia="仿宋" w:cs="仿宋"/>
          <w:sz w:val="24"/>
        </w:rPr>
        <w:t>方承担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 w14:paraId="4C1AC2CF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为了满足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买</w:t>
      </w:r>
      <w:r>
        <w:rPr>
          <w:rFonts w:hint="eastAsia" w:ascii="仿宋" w:hAnsi="仿宋" w:eastAsia="仿宋" w:cs="仿宋"/>
          <w:sz w:val="24"/>
        </w:rPr>
        <w:t>方设计工作及保证设计工作进度，</w:t>
      </w:r>
      <w:r>
        <w:rPr>
          <w:rFonts w:hint="eastAsia" w:ascii="仿宋" w:hAnsi="仿宋" w:eastAsia="仿宋" w:cs="仿宋"/>
          <w:sz w:val="24"/>
          <w:szCs w:val="24"/>
        </w:rPr>
        <w:t>买</w:t>
      </w:r>
      <w:r>
        <w:rPr>
          <w:rFonts w:hint="eastAsia" w:ascii="仿宋" w:hAnsi="仿宋" w:eastAsia="仿宋" w:cs="仿宋"/>
          <w:sz w:val="24"/>
        </w:rPr>
        <w:t>方应在合同签订</w:t>
      </w:r>
      <w:r>
        <w:rPr>
          <w:rFonts w:hint="eastAsia" w:ascii="仿宋" w:hAnsi="仿宋" w:eastAsia="仿宋" w:cs="仿宋"/>
          <w:sz w:val="24"/>
          <w:lang w:val="en-US" w:eastAsia="zh-CN"/>
        </w:rPr>
        <w:t>后</w:t>
      </w:r>
      <w:r>
        <w:rPr>
          <w:rFonts w:hint="eastAsia" w:ascii="仿宋" w:hAnsi="仿宋" w:eastAsia="仿宋" w:cs="仿宋"/>
          <w:sz w:val="24"/>
        </w:rPr>
        <w:t>向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卖</w:t>
      </w:r>
      <w:r>
        <w:rPr>
          <w:rFonts w:hint="eastAsia" w:ascii="仿宋" w:hAnsi="仿宋" w:eastAsia="仿宋" w:cs="仿宋"/>
          <w:sz w:val="24"/>
        </w:rPr>
        <w:t>方提供有关电子图纸一套及</w:t>
      </w:r>
      <w:r>
        <w:rPr>
          <w:rFonts w:hint="eastAsia" w:ascii="仿宋" w:hAnsi="仿宋" w:eastAsia="仿宋" w:cs="仿宋"/>
          <w:sz w:val="24"/>
          <w:lang w:val="en-US" w:eastAsia="zh-CN"/>
        </w:rPr>
        <w:t>门扇</w:t>
      </w:r>
      <w:r>
        <w:rPr>
          <w:rFonts w:hint="eastAsia" w:ascii="仿宋" w:hAnsi="仿宋" w:eastAsia="仿宋" w:cs="仿宋"/>
          <w:sz w:val="24"/>
        </w:rPr>
        <w:t>色卡号（具体见如下）</w:t>
      </w:r>
      <w:r>
        <w:rPr>
          <w:rFonts w:hint="eastAsia" w:ascii="仿宋" w:hAnsi="仿宋" w:eastAsia="仿宋" w:cs="仿宋"/>
          <w:sz w:val="24"/>
          <w:lang w:eastAsia="zh-CN"/>
        </w:rPr>
        <w:t>：</w:t>
      </w:r>
    </w:p>
    <w:p w14:paraId="28B55256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总</w:t>
      </w:r>
      <w:r>
        <w:rPr>
          <w:rFonts w:hint="eastAsia" w:ascii="仿宋" w:hAnsi="仿宋" w:eastAsia="仿宋" w:cs="仿宋"/>
          <w:sz w:val="24"/>
        </w:rPr>
        <w:t xml:space="preserve">布置图； </w:t>
      </w:r>
    </w:p>
    <w:p w14:paraId="436405E5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上层建筑结构图；</w:t>
      </w:r>
    </w:p>
    <w:p w14:paraId="12EA3AD7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防火区域划分图； </w:t>
      </w:r>
    </w:p>
    <w:p w14:paraId="7D3DC3D6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门窗明细表；</w:t>
      </w:r>
    </w:p>
    <w:p w14:paraId="741B5751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</w:rPr>
        <w:t>色卡确认表；</w:t>
      </w:r>
    </w:p>
    <w:p w14:paraId="31404DFA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卖</w:t>
      </w:r>
      <w:r>
        <w:rPr>
          <w:rFonts w:hint="eastAsia" w:ascii="仿宋" w:hAnsi="仿宋" w:eastAsia="仿宋" w:cs="仿宋"/>
          <w:color w:val="FF0000"/>
          <w:sz w:val="24"/>
        </w:rPr>
        <w:t>方</w:t>
      </w:r>
      <w:r>
        <w:rPr>
          <w:rFonts w:hint="eastAsia" w:ascii="仿宋" w:hAnsi="仿宋" w:eastAsia="仿宋" w:cs="仿宋"/>
          <w:color w:val="FF0000"/>
          <w:sz w:val="24"/>
          <w:lang w:val="en-US" w:eastAsia="zh-CN"/>
        </w:rPr>
        <w:t>在</w:t>
      </w:r>
      <w:r>
        <w:rPr>
          <w:rFonts w:hint="eastAsia" w:ascii="仿宋" w:hAnsi="仿宋" w:eastAsia="仿宋" w:cs="仿宋"/>
          <w:sz w:val="24"/>
          <w:szCs w:val="24"/>
        </w:rPr>
        <w:t>买</w:t>
      </w:r>
      <w:r>
        <w:rPr>
          <w:rFonts w:hint="eastAsia" w:ascii="仿宋" w:hAnsi="仿宋" w:eastAsia="仿宋" w:cs="仿宋"/>
          <w:color w:val="FF0000"/>
          <w:sz w:val="24"/>
          <w:lang w:val="en-US" w:eastAsia="zh-CN"/>
        </w:rPr>
        <w:t>方提供图纸后</w:t>
      </w:r>
      <w:r>
        <w:rPr>
          <w:rFonts w:hint="eastAsia" w:ascii="仿宋" w:hAnsi="仿宋" w:eastAsia="仿宋" w:cs="仿宋"/>
          <w:sz w:val="24"/>
          <w:szCs w:val="24"/>
        </w:rPr>
        <w:t>十</w:t>
      </w:r>
      <w:r>
        <w:rPr>
          <w:rFonts w:hint="eastAsia" w:ascii="仿宋" w:hAnsi="仿宋" w:eastAsia="仿宋" w:cs="仿宋"/>
          <w:b/>
          <w:sz w:val="24"/>
          <w:szCs w:val="24"/>
        </w:rPr>
        <w:t>个工作日内</w:t>
      </w:r>
      <w:r>
        <w:rPr>
          <w:rFonts w:hint="eastAsia" w:ascii="仿宋" w:hAnsi="仿宋" w:eastAsia="仿宋" w:cs="仿宋"/>
          <w:sz w:val="24"/>
          <w:szCs w:val="24"/>
        </w:rPr>
        <w:t>，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卖</w:t>
      </w:r>
      <w:r>
        <w:rPr>
          <w:rFonts w:hint="eastAsia" w:ascii="仿宋" w:hAnsi="仿宋" w:eastAsia="仿宋" w:cs="仿宋"/>
          <w:sz w:val="24"/>
          <w:szCs w:val="24"/>
        </w:rPr>
        <w:t>方应向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买</w:t>
      </w:r>
      <w:r>
        <w:rPr>
          <w:rFonts w:hint="eastAsia" w:ascii="仿宋" w:hAnsi="仿宋" w:eastAsia="仿宋" w:cs="仿宋"/>
          <w:sz w:val="24"/>
          <w:szCs w:val="24"/>
        </w:rPr>
        <w:t>方提交认可图（需要设计院供图的，为设计院供图后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十</w:t>
      </w:r>
      <w:r>
        <w:rPr>
          <w:rFonts w:hint="eastAsia" w:ascii="仿宋" w:hAnsi="仿宋" w:eastAsia="仿宋" w:cs="仿宋"/>
          <w:b/>
          <w:sz w:val="24"/>
          <w:szCs w:val="24"/>
        </w:rPr>
        <w:t>个工作日内</w:t>
      </w:r>
      <w:r>
        <w:rPr>
          <w:rFonts w:hint="eastAsia" w:ascii="仿宋" w:hAnsi="仿宋" w:eastAsia="仿宋" w:cs="仿宋"/>
          <w:sz w:val="24"/>
          <w:szCs w:val="24"/>
        </w:rPr>
        <w:t xml:space="preserve">）。 </w:t>
      </w:r>
    </w:p>
    <w:p w14:paraId="27E148F2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在收到认可图后，买方应回复“认可图审图意见”，若在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15</w:t>
      </w:r>
      <w:r>
        <w:rPr>
          <w:rFonts w:hint="eastAsia" w:ascii="仿宋" w:hAnsi="仿宋" w:eastAsia="仿宋" w:cs="仿宋"/>
          <w:sz w:val="24"/>
          <w:szCs w:val="24"/>
        </w:rPr>
        <w:t>天内，买方没有回复“认可图审图意见”，这就意味着买方对认可图没有意见。卖方需对买方的“认可图退审意见”在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十</w:t>
      </w:r>
      <w:r>
        <w:rPr>
          <w:rFonts w:hint="eastAsia" w:ascii="仿宋" w:hAnsi="仿宋" w:eastAsia="仿宋" w:cs="仿宋"/>
          <w:b/>
          <w:sz w:val="24"/>
          <w:szCs w:val="24"/>
        </w:rPr>
        <w:t>个工作日内</w:t>
      </w:r>
      <w:r>
        <w:rPr>
          <w:rFonts w:hint="eastAsia" w:ascii="仿宋" w:hAnsi="仿宋" w:eastAsia="仿宋" w:cs="仿宋"/>
          <w:sz w:val="24"/>
          <w:szCs w:val="24"/>
        </w:rPr>
        <w:t>作出回复，如不回复，这就意味着卖方接收买方的所有“认可图审图意见”</w:t>
      </w:r>
      <w:r>
        <w:rPr>
          <w:rFonts w:hint="eastAsia" w:ascii="仿宋" w:hAnsi="仿宋" w:eastAsia="仿宋" w:cs="仿宋"/>
          <w:b/>
          <w:sz w:val="24"/>
          <w:szCs w:val="24"/>
        </w:rPr>
        <w:t>。</w:t>
      </w:r>
    </w:p>
    <w:p w14:paraId="7E7A03E6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收到设计院资料审查完毕确认函后，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十</w:t>
      </w:r>
      <w:r>
        <w:rPr>
          <w:rFonts w:hint="eastAsia" w:ascii="仿宋" w:hAnsi="仿宋" w:eastAsia="仿宋" w:cs="仿宋"/>
          <w:b/>
          <w:sz w:val="24"/>
          <w:szCs w:val="24"/>
        </w:rPr>
        <w:t>个工作日内</w:t>
      </w:r>
      <w:r>
        <w:rPr>
          <w:rFonts w:hint="eastAsia" w:ascii="仿宋" w:hAnsi="仿宋" w:eastAsia="仿宋" w:cs="仿宋"/>
          <w:sz w:val="24"/>
          <w:szCs w:val="24"/>
        </w:rPr>
        <w:t>卖方应提交工作图给买方和设计院。(该资料也作为买方验收的依据) 。电子资料格式：CAD文件提供CAD2004格式。</w:t>
      </w:r>
    </w:p>
    <w:p w14:paraId="7D441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687" w:firstLineChars="700"/>
        <w:jc w:val="left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</w:p>
    <w:p w14:paraId="343AEAF7">
      <w:pPr>
        <w:pStyle w:val="2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b/>
          <w:sz w:val="32"/>
          <w:szCs w:val="32"/>
        </w:rPr>
      </w:pPr>
    </w:p>
    <w:p w14:paraId="43052DE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p w14:paraId="60C70B0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085E6565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5949A12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137D9851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2310FEB1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444466D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5D00A8D2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16D8C98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5A898D6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51A1F9D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48F90AD1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0EFABC5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5653FDC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588A83E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695C7F2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332E4AF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0500808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30643B5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sz w:val="32"/>
          <w:szCs w:val="32"/>
        </w:rPr>
      </w:pPr>
    </w:p>
    <w:p w14:paraId="06D6731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专用条款</w:t>
      </w:r>
    </w:p>
    <w:p w14:paraId="470490B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范围</w:t>
      </w:r>
    </w:p>
    <w:p w14:paraId="7553EBEC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1.1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主题内容</w:t>
      </w:r>
    </w:p>
    <w:p w14:paraId="46258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本技术协议书规定了</w:t>
      </w:r>
      <w:bookmarkStart w:id="0" w:name="OLE_LINK1"/>
      <w:r>
        <w:rPr>
          <w:rFonts w:hint="eastAsia" w:ascii="仿宋" w:hAnsi="仿宋" w:eastAsia="仿宋" w:cs="仿宋"/>
          <w:sz w:val="24"/>
          <w:szCs w:val="24"/>
        </w:rPr>
        <w:t>世纪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梦想游轮A级</w:t>
      </w:r>
      <w:r>
        <w:rPr>
          <w:rFonts w:hint="eastAsia" w:ascii="仿宋" w:hAnsi="仿宋" w:eastAsia="仿宋" w:cs="仿宋"/>
          <w:sz w:val="24"/>
          <w:szCs w:val="24"/>
        </w:rPr>
        <w:t>防火门</w:t>
      </w:r>
      <w:bookmarkEnd w:id="0"/>
      <w:r>
        <w:rPr>
          <w:rFonts w:hint="eastAsia" w:ascii="仿宋" w:hAnsi="仿宋" w:eastAsia="仿宋" w:cs="仿宋"/>
          <w:sz w:val="24"/>
          <w:szCs w:val="24"/>
        </w:rPr>
        <w:t>的技术要求、质量保证要求、供货要求。</w:t>
      </w:r>
    </w:p>
    <w:p w14:paraId="0E39BD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1.2适用范围</w:t>
      </w:r>
    </w:p>
    <w:p w14:paraId="5CC98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本技术协议书适用于世纪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梦想游轮A级</w:t>
      </w:r>
      <w:r>
        <w:rPr>
          <w:rFonts w:hint="eastAsia" w:ascii="仿宋" w:hAnsi="仿宋" w:eastAsia="仿宋" w:cs="仿宋"/>
          <w:sz w:val="24"/>
          <w:szCs w:val="24"/>
        </w:rPr>
        <w:t>防火门的设计、制造，也可作为验收和交付依据，是订货合同的附件。</w:t>
      </w:r>
    </w:p>
    <w:p w14:paraId="00AE5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1.3</w:t>
      </w:r>
      <w:r>
        <w:rPr>
          <w:rFonts w:hint="eastAsia" w:ascii="仿宋" w:hAnsi="仿宋" w:eastAsia="仿宋" w:cs="仿宋"/>
          <w:sz w:val="24"/>
          <w:szCs w:val="24"/>
        </w:rPr>
        <w:t>配套范围：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全船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A级防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火</w:t>
      </w:r>
      <w:r>
        <w:rPr>
          <w:rFonts w:hint="eastAsia" w:ascii="仿宋" w:hAnsi="仿宋" w:eastAsia="仿宋" w:cs="仿宋"/>
          <w:sz w:val="24"/>
          <w:szCs w:val="24"/>
        </w:rPr>
        <w:t>舱室门（包括门锁</w:t>
      </w:r>
      <w:bookmarkStart w:id="2" w:name="_GoBack"/>
      <w:bookmarkEnd w:id="2"/>
      <w:r>
        <w:rPr>
          <w:rFonts w:hint="eastAsia" w:ascii="仿宋" w:hAnsi="仿宋" w:eastAsia="仿宋" w:cs="仿宋"/>
          <w:sz w:val="24"/>
          <w:szCs w:val="24"/>
        </w:rPr>
        <w:t>、门五金）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详见附件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 w14:paraId="08CBF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1.4</w:t>
      </w:r>
      <w:r>
        <w:rPr>
          <w:rFonts w:hint="eastAsia" w:ascii="仿宋" w:hAnsi="仿宋" w:eastAsia="仿宋" w:cs="仿宋"/>
          <w:sz w:val="24"/>
          <w:szCs w:val="24"/>
        </w:rPr>
        <w:t>规格和数量：根据送审版“舱室门布置图及明细表”，数量见附件。</w:t>
      </w:r>
    </w:p>
    <w:p w14:paraId="6D921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="569" w:leftChars="214" w:hanging="120" w:hangingChars="50"/>
        <w:jc w:val="lef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1.5</w:t>
      </w:r>
      <w:r>
        <w:rPr>
          <w:rFonts w:hint="eastAsia" w:ascii="仿宋" w:hAnsi="仿宋" w:eastAsia="仿宋" w:cs="仿宋"/>
          <w:sz w:val="24"/>
          <w:szCs w:val="24"/>
        </w:rPr>
        <w:t>全船门锁 “沪江牌”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万能钥匙系统满足要求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每个锁头和钥匙对应敲上房间号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 w14:paraId="09DD3D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1.6</w:t>
      </w:r>
      <w:r>
        <w:rPr>
          <w:rFonts w:hint="eastAsia" w:ascii="仿宋" w:hAnsi="仿宋" w:eastAsia="仿宋" w:cs="仿宋"/>
          <w:sz w:val="24"/>
          <w:szCs w:val="24"/>
        </w:rPr>
        <w:t>各类门安装用的各种螺丝、螺母、弹簧垫圈等紧固件，均由乙方配齐。</w:t>
      </w:r>
    </w:p>
    <w:p w14:paraId="117638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引用文件</w:t>
      </w:r>
    </w:p>
    <w:p w14:paraId="4B99132C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GB/T13306-91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标牌</w:t>
      </w:r>
    </w:p>
    <w:p w14:paraId="0048B16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bookmarkStart w:id="1" w:name="OLE_LINK2"/>
      <w:r>
        <w:rPr>
          <w:rFonts w:hint="eastAsia" w:ascii="仿宋" w:hAnsi="仿宋" w:eastAsia="仿宋" w:cs="仿宋"/>
          <w:sz w:val="24"/>
          <w:szCs w:val="24"/>
        </w:rPr>
        <w:t>CBT3234-2011船用防火门</w:t>
      </w:r>
    </w:p>
    <w:bookmarkEnd w:id="1"/>
    <w:p w14:paraId="0CB1CA3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GB/T11874-1989船用门和窗开启方向和符号标志</w:t>
      </w:r>
    </w:p>
    <w:p w14:paraId="0380229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GB/T 23913.3 复合岩棉板耐火舱室防火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门</w:t>
      </w:r>
    </w:p>
    <w:p w14:paraId="4F234343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CB/T 3466 船用锁 通用技术条件</w:t>
      </w:r>
    </w:p>
    <w:p w14:paraId="2D25E68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MSC.337(91) 船上噪声级规则</w:t>
      </w:r>
    </w:p>
    <w:p w14:paraId="5DB3515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3要求</w:t>
      </w:r>
    </w:p>
    <w:p w14:paraId="7F43F6C3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3.1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概述</w:t>
      </w:r>
    </w:p>
    <w:p w14:paraId="70996682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防火门应满足对应的标准中的要求，防火门为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Q235-A/</w:t>
      </w:r>
      <w:r>
        <w:rPr>
          <w:rFonts w:hint="eastAsia" w:ascii="仿宋" w:hAnsi="仿宋" w:eastAsia="仿宋" w:cs="仿宋"/>
          <w:sz w:val="24"/>
          <w:szCs w:val="24"/>
        </w:rPr>
        <w:t>SUS304材料、门槛高度按清单,门的颜色以最终认可图为准。</w:t>
      </w:r>
    </w:p>
    <w:p w14:paraId="22DEE85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3.1.1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组成</w:t>
      </w:r>
    </w:p>
    <w:p w14:paraId="0210398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防火门要由下列规格组成（见附表，最终以确认图纸为准）。</w:t>
      </w:r>
    </w:p>
    <w:p w14:paraId="018ADBE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3.1.2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接口</w:t>
      </w:r>
    </w:p>
    <w:p w14:paraId="0D751BE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a.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与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船</w:t>
      </w:r>
      <w:r>
        <w:rPr>
          <w:rFonts w:hint="eastAsia" w:ascii="仿宋" w:hAnsi="仿宋" w:eastAsia="仿宋" w:cs="仿宋"/>
          <w:sz w:val="24"/>
          <w:szCs w:val="24"/>
        </w:rPr>
        <w:t>舱壁采用螺栓形式连接。</w:t>
      </w:r>
    </w:p>
    <w:p w14:paraId="2CBF819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b.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舱璧开口尺寸见《采购清单》要求。</w:t>
      </w:r>
    </w:p>
    <w:p w14:paraId="69667AE3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3.2特性</w:t>
      </w:r>
    </w:p>
    <w:p w14:paraId="1A85C5D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3.2.1主要性能指标</w:t>
      </w:r>
    </w:p>
    <w:p w14:paraId="53BB5B0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所有防火门应满足相应标准及图纸的要求。</w:t>
      </w:r>
    </w:p>
    <w:p w14:paraId="620F7C5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3.2.2物理特性</w:t>
      </w:r>
    </w:p>
    <w:p w14:paraId="0E3F08F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尺寸应满足相关标准及认可资料的规定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主要零部件材料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</w:p>
    <w:p w14:paraId="4F61B8AC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20" w:lineRule="exact"/>
        <w:ind w:firstLine="3840" w:firstLineChars="1600"/>
        <w:textAlignment w:val="auto"/>
        <w:rPr>
          <w:rFonts w:hint="eastAsia" w:ascii="仿宋" w:hAnsi="仿宋" w:eastAsia="仿宋" w:cs="仿宋"/>
          <w:color w:val="0000FF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表1（A-60/A-15防火门）</w:t>
      </w:r>
    </w:p>
    <w:tbl>
      <w:tblPr>
        <w:tblStyle w:val="17"/>
        <w:tblW w:w="8522" w:type="dxa"/>
        <w:tblInd w:w="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2295"/>
        <w:gridCol w:w="3735"/>
        <w:gridCol w:w="1501"/>
      </w:tblGrid>
      <w:tr w14:paraId="3B124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</w:tcPr>
          <w:p w14:paraId="6D51A0EA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295" w:type="dxa"/>
          </w:tcPr>
          <w:p w14:paraId="4EDA4C59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类型</w:t>
            </w:r>
          </w:p>
        </w:tc>
        <w:tc>
          <w:tcPr>
            <w:tcW w:w="3735" w:type="dxa"/>
          </w:tcPr>
          <w:p w14:paraId="568F93A4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参数指标</w:t>
            </w:r>
          </w:p>
        </w:tc>
        <w:tc>
          <w:tcPr>
            <w:tcW w:w="1501" w:type="dxa"/>
          </w:tcPr>
          <w:p w14:paraId="1839272E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备注</w:t>
            </w:r>
          </w:p>
        </w:tc>
      </w:tr>
      <w:tr w14:paraId="3DDF3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vMerge w:val="restart"/>
            <w:vAlign w:val="center"/>
          </w:tcPr>
          <w:p w14:paraId="1DF2AA8F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95" w:type="dxa"/>
            <w:vMerge w:val="restart"/>
            <w:vAlign w:val="center"/>
          </w:tcPr>
          <w:p w14:paraId="4ED60314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门扇</w:t>
            </w:r>
          </w:p>
        </w:tc>
        <w:tc>
          <w:tcPr>
            <w:tcW w:w="3735" w:type="dxa"/>
          </w:tcPr>
          <w:p w14:paraId="350614CA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PVC贴膜+镀锌钢板+岩棉</w:t>
            </w:r>
          </w:p>
        </w:tc>
        <w:tc>
          <w:tcPr>
            <w:tcW w:w="1501" w:type="dxa"/>
          </w:tcPr>
          <w:p w14:paraId="0D12DE6D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314A5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vMerge w:val="continue"/>
          </w:tcPr>
          <w:p w14:paraId="617BB84C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vMerge w:val="continue"/>
          </w:tcPr>
          <w:p w14:paraId="0BF35C01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735" w:type="dxa"/>
          </w:tcPr>
          <w:p w14:paraId="618E92EE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贴装饰防火板+膜镀锌钢板+岩棉</w:t>
            </w:r>
          </w:p>
        </w:tc>
        <w:tc>
          <w:tcPr>
            <w:tcW w:w="1501" w:type="dxa"/>
          </w:tcPr>
          <w:p w14:paraId="115B4EAC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577C1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vMerge w:val="continue"/>
          </w:tcPr>
          <w:p w14:paraId="2FDD1BB5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vMerge w:val="continue"/>
          </w:tcPr>
          <w:p w14:paraId="703BE4AF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735" w:type="dxa"/>
          </w:tcPr>
          <w:p w14:paraId="78A8B8CB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304哑光不锈钢+岩棉</w:t>
            </w:r>
          </w:p>
        </w:tc>
        <w:tc>
          <w:tcPr>
            <w:tcW w:w="1501" w:type="dxa"/>
          </w:tcPr>
          <w:p w14:paraId="55618AFE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49419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vMerge w:val="continue"/>
          </w:tcPr>
          <w:p w14:paraId="365A1E68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vMerge w:val="continue"/>
          </w:tcPr>
          <w:p w14:paraId="79BDE3E5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735" w:type="dxa"/>
          </w:tcPr>
          <w:p w14:paraId="0CCD1410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烤漆+镀锌钢板+岩棉</w:t>
            </w:r>
          </w:p>
        </w:tc>
        <w:tc>
          <w:tcPr>
            <w:tcW w:w="1501" w:type="dxa"/>
          </w:tcPr>
          <w:p w14:paraId="7D14B5DF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51EE7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vMerge w:val="restart"/>
            <w:vAlign w:val="center"/>
          </w:tcPr>
          <w:p w14:paraId="34E4638C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95" w:type="dxa"/>
            <w:vMerge w:val="restart"/>
            <w:vAlign w:val="center"/>
          </w:tcPr>
          <w:p w14:paraId="17DAE02A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门框</w:t>
            </w:r>
          </w:p>
        </w:tc>
        <w:tc>
          <w:tcPr>
            <w:tcW w:w="3735" w:type="dxa"/>
          </w:tcPr>
          <w:p w14:paraId="3061D605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钢板+烤漆</w:t>
            </w:r>
          </w:p>
        </w:tc>
        <w:tc>
          <w:tcPr>
            <w:tcW w:w="1501" w:type="dxa"/>
          </w:tcPr>
          <w:p w14:paraId="129EC265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181C5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vMerge w:val="continue"/>
          </w:tcPr>
          <w:p w14:paraId="2DF3EF3E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vMerge w:val="continue"/>
            <w:vAlign w:val="center"/>
          </w:tcPr>
          <w:p w14:paraId="086D28A0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735" w:type="dxa"/>
          </w:tcPr>
          <w:p w14:paraId="5311C07E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304拉丝不锈钢</w:t>
            </w:r>
          </w:p>
        </w:tc>
        <w:tc>
          <w:tcPr>
            <w:tcW w:w="1501" w:type="dxa"/>
          </w:tcPr>
          <w:p w14:paraId="6A537B8B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3B699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vMerge w:val="continue"/>
          </w:tcPr>
          <w:p w14:paraId="598C45F0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vMerge w:val="continue"/>
          </w:tcPr>
          <w:p w14:paraId="28CFDBC2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735" w:type="dxa"/>
          </w:tcPr>
          <w:p w14:paraId="42030337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不锈钢门槛盖板</w:t>
            </w:r>
          </w:p>
        </w:tc>
        <w:tc>
          <w:tcPr>
            <w:tcW w:w="1501" w:type="dxa"/>
          </w:tcPr>
          <w:p w14:paraId="0030D7B1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4ADE2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</w:tcPr>
          <w:p w14:paraId="6A59FBD0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295" w:type="dxa"/>
          </w:tcPr>
          <w:p w14:paraId="4129C80C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门扇厚度</w:t>
            </w:r>
          </w:p>
        </w:tc>
        <w:tc>
          <w:tcPr>
            <w:tcW w:w="3735" w:type="dxa"/>
          </w:tcPr>
          <w:p w14:paraId="3ED4512A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0mm</w:t>
            </w:r>
          </w:p>
        </w:tc>
        <w:tc>
          <w:tcPr>
            <w:tcW w:w="1501" w:type="dxa"/>
          </w:tcPr>
          <w:p w14:paraId="59734909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50585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91" w:type="dxa"/>
          </w:tcPr>
          <w:p w14:paraId="037DAA01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295" w:type="dxa"/>
          </w:tcPr>
          <w:p w14:paraId="1B5E10F9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隔声值</w:t>
            </w:r>
          </w:p>
        </w:tc>
        <w:tc>
          <w:tcPr>
            <w:tcW w:w="3735" w:type="dxa"/>
          </w:tcPr>
          <w:p w14:paraId="27F8DF59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Rw≥3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dB</w:t>
            </w:r>
          </w:p>
        </w:tc>
        <w:tc>
          <w:tcPr>
            <w:tcW w:w="1501" w:type="dxa"/>
          </w:tcPr>
          <w:p w14:paraId="0B0A496A">
            <w:pPr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 w14:paraId="31085E9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3.2.3</w:t>
      </w:r>
      <w:r>
        <w:rPr>
          <w:rFonts w:hint="eastAsia" w:ascii="仿宋" w:hAnsi="仿宋" w:eastAsia="仿宋" w:cs="仿宋"/>
          <w:sz w:val="24"/>
          <w:szCs w:val="24"/>
        </w:rPr>
        <w:t>环境条件</w:t>
      </w:r>
    </w:p>
    <w:p w14:paraId="05992BE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满足海事局辖区的环境条件。</w:t>
      </w:r>
    </w:p>
    <w:p w14:paraId="606C0A42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3.3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设计与制造</w:t>
      </w:r>
    </w:p>
    <w:p w14:paraId="610999A1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3.3.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材料、零件、工艺</w:t>
      </w:r>
    </w:p>
    <w:p w14:paraId="0AEB514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619" w:leftChars="228" w:hanging="1140" w:hangingChars="475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a. 防火门的零件材料应符合相应施工图纸和材料规范的有关要求；</w:t>
      </w:r>
    </w:p>
    <w:p w14:paraId="5A590A2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080" w:hanging="1080" w:hangingChars="45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b. 零部件和加工装配尺寸，表面光洁度，公差配合及形位公差应符合图纸要求；</w:t>
      </w:r>
    </w:p>
    <w:p w14:paraId="0455EDF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c. 焊接件的焊缝形式及尺寸应符合国家标准和图纸要求。</w:t>
      </w:r>
    </w:p>
    <w:p w14:paraId="7BBFE1B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620" w:hanging="1620" w:hangingChars="675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d. 其它要求按相应标准。</w:t>
      </w:r>
    </w:p>
    <w:p w14:paraId="5D535E65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e.</w:t>
      </w:r>
      <w:r>
        <w:rPr>
          <w:rFonts w:hint="eastAsia" w:ascii="仿宋" w:hAnsi="仿宋" w:eastAsia="仿宋" w:cs="仿宋"/>
          <w:sz w:val="24"/>
          <w:szCs w:val="24"/>
        </w:rPr>
        <w:t>设备中采用的零部件尽量选用标准件、通用件，其易损件均能在船上更换。</w:t>
      </w:r>
    </w:p>
    <w:p w14:paraId="48231F0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3.3.2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色彩、铭牌和标志</w:t>
      </w:r>
    </w:p>
    <w:p w14:paraId="5D4ECD2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a. 涂装部分满足《船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东</w:t>
      </w:r>
      <w:r>
        <w:rPr>
          <w:rFonts w:hint="eastAsia" w:ascii="仿宋" w:hAnsi="仿宋" w:eastAsia="仿宋" w:cs="仿宋"/>
          <w:sz w:val="24"/>
          <w:szCs w:val="24"/>
        </w:rPr>
        <w:t>要求》。</w:t>
      </w:r>
    </w:p>
    <w:p w14:paraId="27C6EFB2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b. 应配有铭牌，铭牌应符合GB/T13306的要求，铭牌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应</w:t>
      </w:r>
      <w:r>
        <w:rPr>
          <w:rFonts w:hint="eastAsia" w:ascii="仿宋" w:hAnsi="仿宋" w:eastAsia="仿宋" w:cs="仿宋"/>
          <w:sz w:val="24"/>
          <w:szCs w:val="24"/>
        </w:rPr>
        <w:t>有如下内容：标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牌</w:t>
      </w:r>
      <w:r>
        <w:rPr>
          <w:rFonts w:hint="eastAsia" w:ascii="仿宋" w:hAnsi="仿宋" w:eastAsia="仿宋" w:cs="仿宋"/>
          <w:sz w:val="24"/>
          <w:szCs w:val="24"/>
        </w:rPr>
        <w:t>应根据门列表中的信息并提供制造商名称，产品名称，产品型号和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级别等</w:t>
      </w:r>
      <w:r>
        <w:rPr>
          <w:rFonts w:hint="eastAsia" w:ascii="仿宋" w:hAnsi="仿宋" w:eastAsia="仿宋" w:cs="仿宋"/>
          <w:sz w:val="24"/>
          <w:szCs w:val="24"/>
        </w:rPr>
        <w:t>船检认可标记、设备编号等。</w:t>
      </w:r>
    </w:p>
    <w:p w14:paraId="1C55296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防火</w:t>
      </w:r>
      <w:r>
        <w:rPr>
          <w:rFonts w:hint="eastAsia" w:ascii="仿宋" w:hAnsi="仿宋" w:eastAsia="仿宋" w:cs="仿宋"/>
          <w:sz w:val="24"/>
          <w:szCs w:val="24"/>
        </w:rPr>
        <w:t>门技术要求及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验收</w:t>
      </w:r>
      <w:r>
        <w:rPr>
          <w:rFonts w:hint="eastAsia" w:ascii="仿宋" w:hAnsi="仿宋" w:eastAsia="仿宋" w:cs="仿宋"/>
          <w:sz w:val="24"/>
          <w:szCs w:val="24"/>
        </w:rPr>
        <w:t>标准：</w:t>
      </w:r>
    </w:p>
    <w:p w14:paraId="4B1196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3.4.1 防火门制造工艺技术要求：</w:t>
      </w:r>
    </w:p>
    <w:p w14:paraId="730CD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3.4.1.1安装防火门（见安装说明书）开关的反向作启、闭试验，反复三次，门扇开启灵活，无异常响声，关闭时锁舌能轻松插入锁舌扣内。</w:t>
      </w:r>
    </w:p>
    <w:p w14:paraId="655189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3.4.1.2门的零件材料应符合相应施工图纸和材料规范的有关要求</w:t>
      </w:r>
    </w:p>
    <w:p w14:paraId="01155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3.4.1.3公差要求：</w:t>
      </w:r>
    </w:p>
    <w:p w14:paraId="0B016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 w:firstLine="720" w:firstLineChars="3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门框外形尺寸±1mm ,门框深度尺寸±2mm</w:t>
      </w:r>
    </w:p>
    <w:p w14:paraId="0EF0C2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 w:firstLine="720" w:firstLineChars="3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门叶外形尺寸±1mm ,门框厚度尺寸±1mm</w:t>
      </w:r>
    </w:p>
    <w:p w14:paraId="6D7BB0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 w:firstLine="720" w:firstLineChars="3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不平整度＜1.5mm/m</w:t>
      </w:r>
    </w:p>
    <w:p w14:paraId="69546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3.4.1.4装配精度：门页、门框装配后间隙,铰链为3±1.2mm，锁口边4±1.2mm，上边3±1.2mm，下边5±1.2mm；</w:t>
      </w:r>
    </w:p>
    <w:p w14:paraId="0D4B8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3.4.1.5锁孔和锁舌适配，开关灵活而不松动；锁和铰链安装螺钉头不能凸出安装件平面；密封条接口严密，不能有散脱现象；</w:t>
      </w:r>
    </w:p>
    <w:p w14:paraId="183229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3.4.1.6门板、门框均应平直, 门上、中、下铰链中心应在同一铅垂线上，使门装配后开启灵活自由</w:t>
      </w:r>
    </w:p>
    <w:p w14:paraId="54AEF3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3.4.1.7零部件加工后的装配尺寸，表面光洁度，公差配合及形位公差应符合图纸要求；</w:t>
      </w:r>
    </w:p>
    <w:p w14:paraId="0892B3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3.4.1.8焊接件的焊缝形式及尺寸应符合国家标准及图纸要求；</w:t>
      </w:r>
    </w:p>
    <w:p w14:paraId="08181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3.4.1.9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在门页上部需安装闭门器时，需增加加强板，加强板宽度120mm；</w:t>
      </w:r>
    </w:p>
    <w:p w14:paraId="47DD5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3.4.1.10门踏步下需要加强，脚踩无发软、凹陷等现象，低门槛防火门门槛应包覆2.0mm的SUS304不锈钢板，非低门槛防火门应包覆不小于0.6mm的SUS304不锈钢板。</w:t>
      </w:r>
    </w:p>
    <w:p w14:paraId="15D51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/>
        <w:textAlignment w:val="auto"/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3.4.1.11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清单门表中铝质风雨密门按卖方标准取证的钢制防火门制作。</w:t>
      </w:r>
    </w:p>
    <w:p w14:paraId="322E2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25" w:leftChars="250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3.4.2 产品检验标准</w:t>
      </w:r>
    </w:p>
    <w:p w14:paraId="3BFF4FB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3.4.2.1 1974年SOLAS公约及其修正案第II-2章第3条和第9条。</w:t>
      </w:r>
    </w:p>
    <w:p w14:paraId="31C2886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3.4.2.2 IMO 2010年FTP规则第3部分。</w:t>
      </w:r>
    </w:p>
    <w:p w14:paraId="6B049A8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3.4.2.3 1974年国际海上人命安全公约及其修正案第II-1章第3-12条。</w:t>
      </w:r>
    </w:p>
    <w:p w14:paraId="487F649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3.4.2.4 MSC.337(91)《船上噪声等级规则》。</w:t>
      </w:r>
    </w:p>
    <w:p w14:paraId="65C2DBF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3.4.2.5 中国船级社《船舶及产品噪声控制与检测指南》（2013）第3篇第4章。</w:t>
      </w:r>
    </w:p>
    <w:p w14:paraId="01650D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3.4.3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船用</w:t>
      </w:r>
      <w:r>
        <w:rPr>
          <w:rFonts w:hint="eastAsia" w:ascii="仿宋" w:hAnsi="仿宋" w:eastAsia="仿宋" w:cs="仿宋"/>
          <w:sz w:val="24"/>
          <w:szCs w:val="24"/>
        </w:rPr>
        <w:t>防火门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，制造名称、</w:t>
      </w:r>
      <w:r>
        <w:rPr>
          <w:rFonts w:hint="eastAsia" w:ascii="仿宋" w:hAnsi="仿宋" w:eastAsia="仿宋" w:cs="仿宋"/>
          <w:sz w:val="24"/>
          <w:szCs w:val="24"/>
        </w:rPr>
        <w:t>数量、规格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、开向、等级、日期，门</w:t>
      </w:r>
      <w:r>
        <w:rPr>
          <w:rFonts w:hint="eastAsia" w:ascii="仿宋" w:hAnsi="仿宋" w:eastAsia="仿宋" w:cs="仿宋"/>
          <w:sz w:val="24"/>
          <w:szCs w:val="24"/>
        </w:rPr>
        <w:t>牌、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每件产品信息。</w:t>
      </w:r>
    </w:p>
    <w:p w14:paraId="1947D90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3.4.4</w:t>
      </w:r>
      <w:r>
        <w:rPr>
          <w:rFonts w:hint="eastAsia" w:ascii="仿宋" w:hAnsi="仿宋" w:eastAsia="仿宋" w:cs="仿宋"/>
          <w:sz w:val="24"/>
          <w:szCs w:val="24"/>
        </w:rPr>
        <w:t>所有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防火门</w:t>
      </w:r>
      <w:r>
        <w:rPr>
          <w:rFonts w:hint="eastAsia" w:ascii="仿宋" w:hAnsi="仿宋" w:eastAsia="仿宋" w:cs="仿宋"/>
          <w:sz w:val="24"/>
          <w:szCs w:val="24"/>
        </w:rPr>
        <w:t>表面应贴有完整的保护膜。</w:t>
      </w:r>
    </w:p>
    <w:p w14:paraId="62156A9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3.4.5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防火门</w:t>
      </w:r>
      <w:r>
        <w:rPr>
          <w:rFonts w:hint="eastAsia" w:ascii="仿宋" w:hAnsi="仿宋" w:eastAsia="仿宋" w:cs="仿宋"/>
          <w:sz w:val="24"/>
          <w:szCs w:val="24"/>
        </w:rPr>
        <w:t>应按有关标准制造，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卖</w:t>
      </w:r>
      <w:r>
        <w:rPr>
          <w:rFonts w:hint="eastAsia" w:ascii="仿宋" w:hAnsi="仿宋" w:eastAsia="仿宋" w:cs="仿宋"/>
          <w:sz w:val="24"/>
          <w:szCs w:val="24"/>
        </w:rPr>
        <w:t>方自定的工厂制造、验收质量标准应不低于CB标准。</w:t>
      </w:r>
    </w:p>
    <w:p w14:paraId="42C30A8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3.5 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防火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门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外观工艺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要求及标准：</w:t>
      </w:r>
    </w:p>
    <w:p w14:paraId="3DA2E93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3.5.1 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焊接处不得有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裂缝、夹渣、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无气孔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等缺陷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。</w:t>
      </w:r>
    </w:p>
    <w:p w14:paraId="26F8353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3.5.2 每件产品的周边缘应倒圆无毛刺。</w:t>
      </w:r>
    </w:p>
    <w:p w14:paraId="6B91851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3.5.3 表面应光洁，不应有划痕、毛刺、裂纹、波纹及其他缺陷。</w:t>
      </w:r>
    </w:p>
    <w:p w14:paraId="4281E96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3.5.4 每件产品表面使用保护膜。</w:t>
      </w:r>
    </w:p>
    <w:p w14:paraId="3620F30A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3.6 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防火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门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验收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方式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及标准：</w:t>
      </w:r>
    </w:p>
    <w:p w14:paraId="51C0C46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 w:firstLine="0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3.6.1买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方有权在产品制造过程中对产品的生产进行不定期的检查，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卖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方应给予积极配合。</w:t>
      </w:r>
    </w:p>
    <w:p w14:paraId="1F96DFD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3.6.2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在产品完工时，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卖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方应向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买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方提供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：</w:t>
      </w:r>
    </w:p>
    <w:p w14:paraId="3F4D40E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3.6.2.1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CCS产品证书和工厂的产品合格证书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；</w:t>
      </w:r>
    </w:p>
    <w:p w14:paraId="0F8B381B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3.6.2.2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防火门隔声检测报告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防风雨门除外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），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满足MSC.337(91)要求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；</w:t>
      </w:r>
    </w:p>
    <w:p w14:paraId="34E96B0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3.6.2.3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厂家必须提供有毒有害物质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清单及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符合规范要求的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声明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，确保设备材料符合规范要求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。</w:t>
      </w:r>
    </w:p>
    <w:p w14:paraId="6727E6CE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、包装及发运：</w:t>
      </w:r>
    </w:p>
    <w:p w14:paraId="18C3F6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4.1 </w:t>
      </w:r>
      <w:r>
        <w:rPr>
          <w:rFonts w:hint="eastAsia" w:ascii="仿宋" w:hAnsi="仿宋" w:eastAsia="仿宋" w:cs="仿宋"/>
          <w:sz w:val="24"/>
          <w:szCs w:val="24"/>
        </w:rPr>
        <w:t>防火门的包装按甲板打包，每扇门上应标有房号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、尺寸、开向、等级</w:t>
      </w:r>
      <w:r>
        <w:rPr>
          <w:rFonts w:hint="eastAsia" w:ascii="仿宋" w:hAnsi="仿宋" w:eastAsia="仿宋" w:cs="仿宋"/>
          <w:sz w:val="24"/>
          <w:szCs w:val="24"/>
        </w:rPr>
        <w:t>，所提供的钥匙必须有房号标记。</w:t>
      </w:r>
    </w:p>
    <w:p w14:paraId="4DAE6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4.2 </w:t>
      </w:r>
      <w:r>
        <w:rPr>
          <w:rFonts w:hint="eastAsia" w:ascii="仿宋" w:hAnsi="仿宋" w:eastAsia="仿宋" w:cs="仿宋"/>
          <w:sz w:val="24"/>
          <w:szCs w:val="24"/>
        </w:rPr>
        <w:t>防火门必须包装要求牢固可靠，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按国家和行业标准要求执行，应满足起吊，运输安全，并采取必要的防潮、防雨、防锈、防震、防腐蚀等保护措施，确保产品完好无损运达交货地点，</w:t>
      </w:r>
      <w:r>
        <w:rPr>
          <w:rFonts w:hint="eastAsia" w:ascii="仿宋" w:hAnsi="仿宋" w:eastAsia="仿宋" w:cs="仿宋"/>
          <w:sz w:val="24"/>
          <w:szCs w:val="24"/>
        </w:rPr>
        <w:t>如因包装原因或在运输过程中造成损坏，由乙方负责修复或换新。</w:t>
      </w:r>
    </w:p>
    <w:p w14:paraId="5D41627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0" w:firstLineChars="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4.3任何没在清单中所提及的，但产品正常使用所必须得附件/备件，由乙方无偿提供。配套附件需分别单独包装装箱，并配有详细的装箱清单。</w:t>
      </w:r>
    </w:p>
    <w:p w14:paraId="2F38BA8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0" w:firstLineChars="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4.4成品发货前需进行自检，确保发出的每一张板均达到表面平整、无锈蚀、油污、凹陷、划伤等质量缺陷，以免影响现场施工作业。</w:t>
      </w:r>
    </w:p>
    <w:p w14:paraId="2CDC19A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0" w:firstLineChars="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4.5防火门在出厂前应核对防火门的型号、规格是否与合同清单相符。</w:t>
      </w:r>
    </w:p>
    <w:p w14:paraId="651F16F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0" w:firstLineChars="0"/>
        <w:jc w:val="both"/>
        <w:textAlignment w:val="auto"/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4.6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以上清单内涉及到防火板的门，由甲方统一采购防火板后物流给乙方，乙方进行防火板与防火门的粘贴工作，发货时作为完整的成品发货。</w:t>
      </w:r>
    </w:p>
    <w:p w14:paraId="3CEDBC8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0" w:firstLineChars="0"/>
        <w:jc w:val="both"/>
        <w:textAlignment w:val="auto"/>
        <w:rPr>
          <w:rFonts w:hint="default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4.7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防火门锁采用二级组合，具体要求见由买方提供给卖方的门锁组合型式表，卖方根据买方提供的编号对号配置安装。</w:t>
      </w:r>
    </w:p>
    <w:p w14:paraId="2FFCF9C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0" w:firstLineChars="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4.8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产品最终下单生产前，需与买方进行再次确认无误后，再进行下单。</w:t>
      </w:r>
    </w:p>
    <w:p w14:paraId="4B475F0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0" w:firstLineChars="0"/>
        <w:jc w:val="both"/>
        <w:textAlignment w:val="auto"/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4.9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闭门器由买方提供。</w:t>
      </w:r>
    </w:p>
    <w:p w14:paraId="5B5F34A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0" w:firstLineChars="0"/>
        <w:jc w:val="both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4.10发运方式在商务合同中明确。</w:t>
      </w:r>
    </w:p>
    <w:p w14:paraId="6D0A43C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>提供的资料</w:t>
      </w:r>
    </w:p>
    <w:p w14:paraId="456D2AC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>.1认可资料</w:t>
      </w:r>
    </w:p>
    <w:p w14:paraId="4ACC28A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共l套，在签订规格书后2周内提供，船厂l套电子文档。</w:t>
      </w:r>
    </w:p>
    <w:p w14:paraId="185CEB1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>.2工作资料</w:t>
      </w:r>
    </w:p>
    <w:p w14:paraId="3CDC3AAC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79" w:leftChars="228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船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东</w:t>
      </w:r>
      <w:r>
        <w:rPr>
          <w:rFonts w:hint="eastAsia" w:ascii="仿宋" w:hAnsi="仿宋" w:eastAsia="仿宋" w:cs="仿宋"/>
          <w:sz w:val="24"/>
          <w:szCs w:val="24"/>
        </w:rPr>
        <w:t>在收到认可资料后2周内将意见反馈给承制方。承制方在收到确认意见后2周内提供工作资料共l套。</w:t>
      </w:r>
    </w:p>
    <w:p w14:paraId="0308DBB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>.3随机资料清单如下：</w:t>
      </w:r>
    </w:p>
    <w:p w14:paraId="1CDF9FD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出厂合格证、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CCS</w:t>
      </w:r>
      <w:r>
        <w:rPr>
          <w:rFonts w:hint="eastAsia" w:ascii="仿宋" w:hAnsi="仿宋" w:eastAsia="仿宋" w:cs="仿宋"/>
          <w:sz w:val="24"/>
          <w:szCs w:val="24"/>
        </w:rPr>
        <w:t>船用产品证书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产品安装使用说明书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及装箱清单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69557011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sz w:val="24"/>
          <w:szCs w:val="24"/>
        </w:rPr>
        <w:t>质量保证期</w:t>
      </w:r>
    </w:p>
    <w:p w14:paraId="7D6DDD8C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6.1</w:t>
      </w:r>
      <w:r>
        <w:rPr>
          <w:rFonts w:hint="eastAsia" w:ascii="仿宋" w:hAnsi="仿宋" w:eastAsia="仿宋" w:cs="仿宋"/>
          <w:sz w:val="24"/>
          <w:szCs w:val="24"/>
        </w:rPr>
        <w:t>对上述设备质量负责，提高设备的可靠性和可用性，在试验过程中出现产品质量问题时应及时处理。产品保修期为交船后一年。</w:t>
      </w:r>
    </w:p>
    <w:p w14:paraId="6E6A87C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6.2要求现场技术服务。</w:t>
      </w:r>
    </w:p>
    <w:p w14:paraId="2D949A2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7 </w:t>
      </w:r>
      <w:r>
        <w:rPr>
          <w:rFonts w:hint="eastAsia" w:ascii="仿宋" w:hAnsi="仿宋" w:eastAsia="仿宋" w:cs="仿宋"/>
          <w:sz w:val="24"/>
          <w:szCs w:val="24"/>
        </w:rPr>
        <w:t>说明事项</w:t>
      </w:r>
    </w:p>
    <w:p w14:paraId="6F785494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未尽事直，双方协商解决。</w:t>
      </w:r>
    </w:p>
    <w:p w14:paraId="3427E5E6">
      <w:pPr>
        <w:spacing w:line="360" w:lineRule="auto"/>
        <w:jc w:val="left"/>
        <w:rPr>
          <w:rFonts w:hint="default" w:ascii="仿宋" w:hAnsi="仿宋" w:eastAsia="仿宋" w:cs="仿宋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8 </w:t>
      </w:r>
      <w:r>
        <w:rPr>
          <w:rFonts w:hint="eastAsia" w:ascii="仿宋" w:hAnsi="仿宋" w:eastAsia="仿宋" w:cs="仿宋"/>
          <w:sz w:val="24"/>
          <w:szCs w:val="24"/>
        </w:rPr>
        <w:t>依据性文件</w:t>
      </w:r>
    </w:p>
    <w:p w14:paraId="643A2C07">
      <w:pPr>
        <w:spacing w:line="360" w:lineRule="auto"/>
        <w:ind w:firstLine="360" w:firstLineChars="150"/>
        <w:jc w:val="center"/>
        <w:rPr>
          <w:sz w:val="24"/>
        </w:rPr>
      </w:pPr>
    </w:p>
    <w:p w14:paraId="0EAA9B33">
      <w:pPr>
        <w:spacing w:line="160" w:lineRule="atLeast"/>
        <w:jc w:val="left"/>
        <w:rPr>
          <w:b/>
          <w:sz w:val="32"/>
          <w:szCs w:val="32"/>
        </w:rPr>
      </w:pPr>
    </w:p>
    <w:sectPr>
      <w:footerReference r:id="rId3" w:type="default"/>
      <w:type w:val="continuous"/>
      <w:pgSz w:w="11906" w:h="16838"/>
      <w:pgMar w:top="907" w:right="964" w:bottom="124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03F741">
    <w:pPr>
      <w:pStyle w:val="12"/>
      <w:jc w:val="center"/>
      <w:rPr>
        <w:sz w:val="24"/>
      </w:rPr>
    </w:pPr>
    <w:r>
      <w:rPr>
        <w:kern w:val="0"/>
        <w:sz w:val="24"/>
        <w:szCs w:val="21"/>
      </w:rPr>
      <w:t xml:space="preserve">- </w:t>
    </w:r>
    <w:r>
      <w:rPr>
        <w:kern w:val="0"/>
        <w:sz w:val="24"/>
        <w:szCs w:val="21"/>
      </w:rPr>
      <w:fldChar w:fldCharType="begin"/>
    </w:r>
    <w:r>
      <w:rPr>
        <w:kern w:val="0"/>
        <w:sz w:val="24"/>
        <w:szCs w:val="21"/>
      </w:rPr>
      <w:instrText xml:space="preserve"> PAGE </w:instrText>
    </w:r>
    <w:r>
      <w:rPr>
        <w:kern w:val="0"/>
        <w:sz w:val="24"/>
        <w:szCs w:val="21"/>
      </w:rPr>
      <w:fldChar w:fldCharType="separate"/>
    </w:r>
    <w:r>
      <w:rPr>
        <w:kern w:val="0"/>
        <w:sz w:val="24"/>
        <w:szCs w:val="21"/>
      </w:rPr>
      <w:t>1</w:t>
    </w:r>
    <w:r>
      <w:rPr>
        <w:kern w:val="0"/>
        <w:sz w:val="24"/>
        <w:szCs w:val="21"/>
      </w:rPr>
      <w:fldChar w:fldCharType="end"/>
    </w:r>
    <w:r>
      <w:rPr>
        <w:kern w:val="0"/>
        <w:sz w:val="24"/>
        <w:szCs w:val="21"/>
      </w:rPr>
      <w:t xml:space="preserve"> -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A302FA"/>
    <w:multiLevelType w:val="multilevel"/>
    <w:tmpl w:val="1EA302FA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440"/>
        </w:tabs>
        <w:ind w:left="1440" w:hanging="1440"/>
      </w:pPr>
      <w:rPr>
        <w:rFonts w:hint="default"/>
      </w:rPr>
    </w:lvl>
  </w:abstractNum>
  <w:abstractNum w:abstractNumId="1">
    <w:nsid w:val="29514C2E"/>
    <w:multiLevelType w:val="multilevel"/>
    <w:tmpl w:val="29514C2E"/>
    <w:lvl w:ilvl="0" w:tentative="0">
      <w:start w:val="1"/>
      <w:numFmt w:val="decimal"/>
      <w:lvlText w:val="1.3.%1"/>
      <w:lvlJc w:val="left"/>
      <w:pPr>
        <w:tabs>
          <w:tab w:val="left" w:pos="193"/>
        </w:tabs>
        <w:ind w:left="193" w:hanging="193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133"/>
        </w:tabs>
        <w:ind w:left="133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133"/>
        </w:tabs>
        <w:ind w:left="133" w:hanging="36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493"/>
        </w:tabs>
        <w:ind w:left="493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493"/>
        </w:tabs>
        <w:ind w:left="493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853"/>
        </w:tabs>
        <w:ind w:left="853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853"/>
        </w:tabs>
        <w:ind w:left="853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853"/>
        </w:tabs>
        <w:ind w:left="853" w:hanging="108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213"/>
        </w:tabs>
        <w:ind w:left="1213" w:hanging="1440"/>
      </w:pPr>
      <w:rPr>
        <w:rFonts w:hint="default"/>
      </w:rPr>
    </w:lvl>
  </w:abstractNum>
  <w:abstractNum w:abstractNumId="2">
    <w:nsid w:val="64B52DD5"/>
    <w:multiLevelType w:val="multilevel"/>
    <w:tmpl w:val="64B52DD5"/>
    <w:lvl w:ilvl="0" w:tentative="0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83D379C"/>
    <w:multiLevelType w:val="multilevel"/>
    <w:tmpl w:val="683D379C"/>
    <w:lvl w:ilvl="0" w:tentative="0">
      <w:start w:val="1"/>
      <w:numFmt w:val="decimal"/>
      <w:lvlText w:val="%1)"/>
      <w:lvlJc w:val="left"/>
      <w:pPr>
        <w:tabs>
          <w:tab w:val="left" w:pos="1739"/>
        </w:tabs>
        <w:ind w:left="1739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2099"/>
        </w:tabs>
        <w:ind w:left="2099" w:hanging="420"/>
      </w:pPr>
    </w:lvl>
    <w:lvl w:ilvl="2" w:tentative="0">
      <w:start w:val="3"/>
      <w:numFmt w:val="decimal"/>
      <w:lvlText w:val="%3、"/>
      <w:lvlJc w:val="left"/>
      <w:pPr>
        <w:tabs>
          <w:tab w:val="left" w:pos="2459"/>
        </w:tabs>
        <w:ind w:left="2459" w:hanging="360"/>
      </w:pPr>
      <w:rPr>
        <w:rFonts w:hint="default" w:ascii="Times New Roman" w:hAnsi="Times New Roman"/>
      </w:rPr>
    </w:lvl>
    <w:lvl w:ilvl="3" w:tentative="0">
      <w:start w:val="1"/>
      <w:numFmt w:val="decimal"/>
      <w:lvlText w:val="%4."/>
      <w:lvlJc w:val="left"/>
      <w:pPr>
        <w:tabs>
          <w:tab w:val="left" w:pos="2939"/>
        </w:tabs>
        <w:ind w:left="2939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359"/>
        </w:tabs>
        <w:ind w:left="3359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779"/>
        </w:tabs>
        <w:ind w:left="3779" w:hanging="420"/>
      </w:pPr>
    </w:lvl>
    <w:lvl w:ilvl="6" w:tentative="0">
      <w:start w:val="1"/>
      <w:numFmt w:val="decimal"/>
      <w:lvlText w:val="%7."/>
      <w:lvlJc w:val="left"/>
      <w:pPr>
        <w:tabs>
          <w:tab w:val="left" w:pos="4199"/>
        </w:tabs>
        <w:ind w:left="4199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619"/>
        </w:tabs>
        <w:ind w:left="4619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039"/>
        </w:tabs>
        <w:ind w:left="5039" w:hanging="420"/>
      </w:pPr>
    </w:lvl>
  </w:abstractNum>
  <w:abstractNum w:abstractNumId="4">
    <w:nsid w:val="752317CE"/>
    <w:multiLevelType w:val="multilevel"/>
    <w:tmpl w:val="752317CE"/>
    <w:lvl w:ilvl="0" w:tentative="0">
      <w:start w:val="1"/>
      <w:numFmt w:val="decimal"/>
      <w:lvlText w:val="3.%1.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04" w:hanging="420"/>
      </w:pPr>
    </w:lvl>
    <w:lvl w:ilvl="2" w:tentative="0">
      <w:start w:val="1"/>
      <w:numFmt w:val="lowerRoman"/>
      <w:lvlText w:val="%3."/>
      <w:lvlJc w:val="right"/>
      <w:pPr>
        <w:ind w:left="624" w:hanging="420"/>
      </w:pPr>
    </w:lvl>
    <w:lvl w:ilvl="3" w:tentative="0">
      <w:start w:val="1"/>
      <w:numFmt w:val="decimal"/>
      <w:lvlText w:val="%4."/>
      <w:lvlJc w:val="left"/>
      <w:pPr>
        <w:ind w:left="1044" w:hanging="420"/>
      </w:pPr>
    </w:lvl>
    <w:lvl w:ilvl="4" w:tentative="0">
      <w:start w:val="1"/>
      <w:numFmt w:val="lowerLetter"/>
      <w:lvlText w:val="%5)"/>
      <w:lvlJc w:val="left"/>
      <w:pPr>
        <w:ind w:left="1464" w:hanging="420"/>
      </w:pPr>
    </w:lvl>
    <w:lvl w:ilvl="5" w:tentative="0">
      <w:start w:val="1"/>
      <w:numFmt w:val="lowerRoman"/>
      <w:lvlText w:val="%6."/>
      <w:lvlJc w:val="right"/>
      <w:pPr>
        <w:ind w:left="1884" w:hanging="420"/>
      </w:pPr>
    </w:lvl>
    <w:lvl w:ilvl="6" w:tentative="0">
      <w:start w:val="1"/>
      <w:numFmt w:val="decimal"/>
      <w:lvlText w:val="%7."/>
      <w:lvlJc w:val="left"/>
      <w:pPr>
        <w:ind w:left="2304" w:hanging="420"/>
      </w:pPr>
    </w:lvl>
    <w:lvl w:ilvl="7" w:tentative="0">
      <w:start w:val="1"/>
      <w:numFmt w:val="lowerLetter"/>
      <w:lvlText w:val="%8)"/>
      <w:lvlJc w:val="left"/>
      <w:pPr>
        <w:ind w:left="2724" w:hanging="420"/>
      </w:pPr>
    </w:lvl>
    <w:lvl w:ilvl="8" w:tentative="0">
      <w:start w:val="1"/>
      <w:numFmt w:val="lowerRoman"/>
      <w:lvlText w:val="%9."/>
      <w:lvlJc w:val="right"/>
      <w:pPr>
        <w:ind w:left="3144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TrackMoves/>
  <w:documentProtection w:enforcement="0"/>
  <w:defaultTabStop w:val="425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xNTEzZDJkNDFhNWVmZWMxNGM2ZTE3NjNkZmMxYzQifQ=="/>
  </w:docVars>
  <w:rsids>
    <w:rsidRoot w:val="00B14448"/>
    <w:rsid w:val="000015CA"/>
    <w:rsid w:val="00002B0A"/>
    <w:rsid w:val="0000581B"/>
    <w:rsid w:val="00020E7F"/>
    <w:rsid w:val="00033765"/>
    <w:rsid w:val="00045B66"/>
    <w:rsid w:val="0005201B"/>
    <w:rsid w:val="0005461E"/>
    <w:rsid w:val="00057536"/>
    <w:rsid w:val="00061C1A"/>
    <w:rsid w:val="00070A29"/>
    <w:rsid w:val="00072567"/>
    <w:rsid w:val="000805A6"/>
    <w:rsid w:val="000830C4"/>
    <w:rsid w:val="000A01E6"/>
    <w:rsid w:val="000A2FB7"/>
    <w:rsid w:val="000C27F6"/>
    <w:rsid w:val="000D4C1A"/>
    <w:rsid w:val="000D5D68"/>
    <w:rsid w:val="000D7196"/>
    <w:rsid w:val="000D7438"/>
    <w:rsid w:val="000E0EC8"/>
    <w:rsid w:val="000E11DB"/>
    <w:rsid w:val="000F1E0B"/>
    <w:rsid w:val="00102998"/>
    <w:rsid w:val="001047F9"/>
    <w:rsid w:val="00105396"/>
    <w:rsid w:val="00113528"/>
    <w:rsid w:val="00113F4B"/>
    <w:rsid w:val="00121D54"/>
    <w:rsid w:val="001313BB"/>
    <w:rsid w:val="00131D28"/>
    <w:rsid w:val="0014748B"/>
    <w:rsid w:val="0015358E"/>
    <w:rsid w:val="00155E07"/>
    <w:rsid w:val="00182C66"/>
    <w:rsid w:val="00190978"/>
    <w:rsid w:val="001916CE"/>
    <w:rsid w:val="0019421C"/>
    <w:rsid w:val="001972C0"/>
    <w:rsid w:val="001A4F2D"/>
    <w:rsid w:val="001A53A7"/>
    <w:rsid w:val="001A59E5"/>
    <w:rsid w:val="001B2BCA"/>
    <w:rsid w:val="001B485F"/>
    <w:rsid w:val="001C0218"/>
    <w:rsid w:val="001C30DC"/>
    <w:rsid w:val="001D5108"/>
    <w:rsid w:val="001E16E9"/>
    <w:rsid w:val="001E5535"/>
    <w:rsid w:val="001E69C6"/>
    <w:rsid w:val="001E7A82"/>
    <w:rsid w:val="001E7F2B"/>
    <w:rsid w:val="001F028E"/>
    <w:rsid w:val="001F24E3"/>
    <w:rsid w:val="001F2803"/>
    <w:rsid w:val="001F3440"/>
    <w:rsid w:val="001F38E6"/>
    <w:rsid w:val="001F6AB4"/>
    <w:rsid w:val="001F7B8A"/>
    <w:rsid w:val="002003CD"/>
    <w:rsid w:val="002009B2"/>
    <w:rsid w:val="00201047"/>
    <w:rsid w:val="00201CAD"/>
    <w:rsid w:val="00211393"/>
    <w:rsid w:val="0021144C"/>
    <w:rsid w:val="00220B43"/>
    <w:rsid w:val="00221F48"/>
    <w:rsid w:val="00223224"/>
    <w:rsid w:val="002322EE"/>
    <w:rsid w:val="0024263C"/>
    <w:rsid w:val="00242F74"/>
    <w:rsid w:val="002605F7"/>
    <w:rsid w:val="00263C4E"/>
    <w:rsid w:val="00264E48"/>
    <w:rsid w:val="00271281"/>
    <w:rsid w:val="002716DD"/>
    <w:rsid w:val="00276671"/>
    <w:rsid w:val="00277108"/>
    <w:rsid w:val="00280C4B"/>
    <w:rsid w:val="0028369B"/>
    <w:rsid w:val="002A2BAC"/>
    <w:rsid w:val="002A38AD"/>
    <w:rsid w:val="002B18F9"/>
    <w:rsid w:val="002B31AA"/>
    <w:rsid w:val="002C2D0E"/>
    <w:rsid w:val="002D51C9"/>
    <w:rsid w:val="002D7740"/>
    <w:rsid w:val="002D7DD3"/>
    <w:rsid w:val="002E1F03"/>
    <w:rsid w:val="002E3213"/>
    <w:rsid w:val="002E6343"/>
    <w:rsid w:val="002F6527"/>
    <w:rsid w:val="002F6C75"/>
    <w:rsid w:val="00303790"/>
    <w:rsid w:val="003037D7"/>
    <w:rsid w:val="003048FD"/>
    <w:rsid w:val="00307A4D"/>
    <w:rsid w:val="00310959"/>
    <w:rsid w:val="00311727"/>
    <w:rsid w:val="00311B9A"/>
    <w:rsid w:val="00322578"/>
    <w:rsid w:val="003276D1"/>
    <w:rsid w:val="00330A2B"/>
    <w:rsid w:val="00330E4E"/>
    <w:rsid w:val="00334241"/>
    <w:rsid w:val="003350DB"/>
    <w:rsid w:val="003440F4"/>
    <w:rsid w:val="0034680D"/>
    <w:rsid w:val="003819D2"/>
    <w:rsid w:val="003848FA"/>
    <w:rsid w:val="0039750D"/>
    <w:rsid w:val="003A1063"/>
    <w:rsid w:val="003A1DCD"/>
    <w:rsid w:val="003A2C6F"/>
    <w:rsid w:val="003C413E"/>
    <w:rsid w:val="003C483B"/>
    <w:rsid w:val="003D1685"/>
    <w:rsid w:val="003D221C"/>
    <w:rsid w:val="003E308B"/>
    <w:rsid w:val="003E42BE"/>
    <w:rsid w:val="00412A78"/>
    <w:rsid w:val="004205A6"/>
    <w:rsid w:val="004278C3"/>
    <w:rsid w:val="00432080"/>
    <w:rsid w:val="00432F4C"/>
    <w:rsid w:val="00434284"/>
    <w:rsid w:val="00441258"/>
    <w:rsid w:val="00443C58"/>
    <w:rsid w:val="004527E3"/>
    <w:rsid w:val="00456B9A"/>
    <w:rsid w:val="00460600"/>
    <w:rsid w:val="00461053"/>
    <w:rsid w:val="004678EC"/>
    <w:rsid w:val="00470981"/>
    <w:rsid w:val="0047487E"/>
    <w:rsid w:val="004840AA"/>
    <w:rsid w:val="00484DA2"/>
    <w:rsid w:val="00485D22"/>
    <w:rsid w:val="00485EEB"/>
    <w:rsid w:val="004A33C9"/>
    <w:rsid w:val="004A53A0"/>
    <w:rsid w:val="004B092F"/>
    <w:rsid w:val="004C0F61"/>
    <w:rsid w:val="004C507D"/>
    <w:rsid w:val="004C7F5D"/>
    <w:rsid w:val="004E39C1"/>
    <w:rsid w:val="004E411C"/>
    <w:rsid w:val="00501758"/>
    <w:rsid w:val="005046A0"/>
    <w:rsid w:val="00515FEB"/>
    <w:rsid w:val="005233A5"/>
    <w:rsid w:val="00525FB6"/>
    <w:rsid w:val="00547117"/>
    <w:rsid w:val="00560E9C"/>
    <w:rsid w:val="005642A2"/>
    <w:rsid w:val="005678AD"/>
    <w:rsid w:val="00574DCB"/>
    <w:rsid w:val="00576A33"/>
    <w:rsid w:val="00580E48"/>
    <w:rsid w:val="00580FB8"/>
    <w:rsid w:val="00585465"/>
    <w:rsid w:val="0059397C"/>
    <w:rsid w:val="005A4866"/>
    <w:rsid w:val="005B61D8"/>
    <w:rsid w:val="005C4F08"/>
    <w:rsid w:val="005C6BAB"/>
    <w:rsid w:val="005C7F2D"/>
    <w:rsid w:val="005D6FEF"/>
    <w:rsid w:val="005E0E92"/>
    <w:rsid w:val="005E2C27"/>
    <w:rsid w:val="005E6FC8"/>
    <w:rsid w:val="005E7A49"/>
    <w:rsid w:val="005F755E"/>
    <w:rsid w:val="00604966"/>
    <w:rsid w:val="00605073"/>
    <w:rsid w:val="006102C4"/>
    <w:rsid w:val="006113E9"/>
    <w:rsid w:val="006116B7"/>
    <w:rsid w:val="00622279"/>
    <w:rsid w:val="00626068"/>
    <w:rsid w:val="00631009"/>
    <w:rsid w:val="00631087"/>
    <w:rsid w:val="00644A1F"/>
    <w:rsid w:val="00645B53"/>
    <w:rsid w:val="0065406C"/>
    <w:rsid w:val="0066487D"/>
    <w:rsid w:val="00667689"/>
    <w:rsid w:val="006730D5"/>
    <w:rsid w:val="00677C4C"/>
    <w:rsid w:val="006854B1"/>
    <w:rsid w:val="006957B7"/>
    <w:rsid w:val="006B145D"/>
    <w:rsid w:val="006B4EA7"/>
    <w:rsid w:val="006C293C"/>
    <w:rsid w:val="006E7114"/>
    <w:rsid w:val="007056C1"/>
    <w:rsid w:val="00731948"/>
    <w:rsid w:val="00737CD8"/>
    <w:rsid w:val="00740F3C"/>
    <w:rsid w:val="00744910"/>
    <w:rsid w:val="0074770A"/>
    <w:rsid w:val="00754252"/>
    <w:rsid w:val="007553D9"/>
    <w:rsid w:val="00756297"/>
    <w:rsid w:val="007638E6"/>
    <w:rsid w:val="007645BC"/>
    <w:rsid w:val="00776C14"/>
    <w:rsid w:val="0078741B"/>
    <w:rsid w:val="007A6883"/>
    <w:rsid w:val="007B0954"/>
    <w:rsid w:val="007C1BFB"/>
    <w:rsid w:val="007C2087"/>
    <w:rsid w:val="007D5AA6"/>
    <w:rsid w:val="007D607E"/>
    <w:rsid w:val="007E55F2"/>
    <w:rsid w:val="007E575E"/>
    <w:rsid w:val="007F7A1C"/>
    <w:rsid w:val="00812D24"/>
    <w:rsid w:val="00826166"/>
    <w:rsid w:val="0082744D"/>
    <w:rsid w:val="00827E2F"/>
    <w:rsid w:val="00840C35"/>
    <w:rsid w:val="008669A4"/>
    <w:rsid w:val="00870B1E"/>
    <w:rsid w:val="00872369"/>
    <w:rsid w:val="0087333D"/>
    <w:rsid w:val="00880F82"/>
    <w:rsid w:val="00882911"/>
    <w:rsid w:val="00883603"/>
    <w:rsid w:val="00886109"/>
    <w:rsid w:val="00887D4A"/>
    <w:rsid w:val="0089041F"/>
    <w:rsid w:val="008964EE"/>
    <w:rsid w:val="0089659B"/>
    <w:rsid w:val="00897F4D"/>
    <w:rsid w:val="008A4685"/>
    <w:rsid w:val="008A5A1B"/>
    <w:rsid w:val="008B4D14"/>
    <w:rsid w:val="008B6B86"/>
    <w:rsid w:val="008C13BB"/>
    <w:rsid w:val="008C52D4"/>
    <w:rsid w:val="008C6FDD"/>
    <w:rsid w:val="008D21C5"/>
    <w:rsid w:val="008E2302"/>
    <w:rsid w:val="008F5AF3"/>
    <w:rsid w:val="008F5D9F"/>
    <w:rsid w:val="009009F5"/>
    <w:rsid w:val="00904623"/>
    <w:rsid w:val="0091028F"/>
    <w:rsid w:val="00911DE7"/>
    <w:rsid w:val="0091569B"/>
    <w:rsid w:val="00915A8B"/>
    <w:rsid w:val="00916FF1"/>
    <w:rsid w:val="0091778A"/>
    <w:rsid w:val="00920E46"/>
    <w:rsid w:val="00924AA1"/>
    <w:rsid w:val="009267BE"/>
    <w:rsid w:val="0093144B"/>
    <w:rsid w:val="00931CE1"/>
    <w:rsid w:val="00932A55"/>
    <w:rsid w:val="0095310D"/>
    <w:rsid w:val="00954BF0"/>
    <w:rsid w:val="00980099"/>
    <w:rsid w:val="00980B1F"/>
    <w:rsid w:val="00983DB1"/>
    <w:rsid w:val="009A2757"/>
    <w:rsid w:val="009A3707"/>
    <w:rsid w:val="009A3DB6"/>
    <w:rsid w:val="009B33D3"/>
    <w:rsid w:val="009C1A72"/>
    <w:rsid w:val="009C1E44"/>
    <w:rsid w:val="009D2CF8"/>
    <w:rsid w:val="009E4D75"/>
    <w:rsid w:val="009E5BE3"/>
    <w:rsid w:val="009E7A2D"/>
    <w:rsid w:val="009F032C"/>
    <w:rsid w:val="009F5C44"/>
    <w:rsid w:val="009F79BE"/>
    <w:rsid w:val="00A018D9"/>
    <w:rsid w:val="00A03817"/>
    <w:rsid w:val="00A04B4E"/>
    <w:rsid w:val="00A06806"/>
    <w:rsid w:val="00A1580E"/>
    <w:rsid w:val="00A1581D"/>
    <w:rsid w:val="00A1614B"/>
    <w:rsid w:val="00A216A6"/>
    <w:rsid w:val="00A23F03"/>
    <w:rsid w:val="00A30F2A"/>
    <w:rsid w:val="00A377BD"/>
    <w:rsid w:val="00A4436A"/>
    <w:rsid w:val="00A5323E"/>
    <w:rsid w:val="00A57E6A"/>
    <w:rsid w:val="00A6234D"/>
    <w:rsid w:val="00A629E6"/>
    <w:rsid w:val="00A65B26"/>
    <w:rsid w:val="00A65FB7"/>
    <w:rsid w:val="00A67054"/>
    <w:rsid w:val="00A674F9"/>
    <w:rsid w:val="00A731DA"/>
    <w:rsid w:val="00A740D2"/>
    <w:rsid w:val="00A760BA"/>
    <w:rsid w:val="00A7778E"/>
    <w:rsid w:val="00A84B56"/>
    <w:rsid w:val="00A86360"/>
    <w:rsid w:val="00A917CF"/>
    <w:rsid w:val="00A9658B"/>
    <w:rsid w:val="00A978E6"/>
    <w:rsid w:val="00AA1E87"/>
    <w:rsid w:val="00AA4326"/>
    <w:rsid w:val="00AA4CC3"/>
    <w:rsid w:val="00AA5105"/>
    <w:rsid w:val="00AA5BB8"/>
    <w:rsid w:val="00AB2744"/>
    <w:rsid w:val="00AD0B6A"/>
    <w:rsid w:val="00AD0F8E"/>
    <w:rsid w:val="00AE76FE"/>
    <w:rsid w:val="00AF1CAF"/>
    <w:rsid w:val="00AF277B"/>
    <w:rsid w:val="00AF39BA"/>
    <w:rsid w:val="00AF3AF3"/>
    <w:rsid w:val="00AF3B5A"/>
    <w:rsid w:val="00B01DF4"/>
    <w:rsid w:val="00B1431E"/>
    <w:rsid w:val="00B14448"/>
    <w:rsid w:val="00B34C35"/>
    <w:rsid w:val="00B4318E"/>
    <w:rsid w:val="00B475FE"/>
    <w:rsid w:val="00B524B9"/>
    <w:rsid w:val="00B53C87"/>
    <w:rsid w:val="00B6029F"/>
    <w:rsid w:val="00B6175F"/>
    <w:rsid w:val="00B63E14"/>
    <w:rsid w:val="00B65F0C"/>
    <w:rsid w:val="00B71350"/>
    <w:rsid w:val="00B75057"/>
    <w:rsid w:val="00B841A3"/>
    <w:rsid w:val="00B86E24"/>
    <w:rsid w:val="00B8796E"/>
    <w:rsid w:val="00B96770"/>
    <w:rsid w:val="00BA1E45"/>
    <w:rsid w:val="00BA5B55"/>
    <w:rsid w:val="00BA7EAC"/>
    <w:rsid w:val="00BB1C99"/>
    <w:rsid w:val="00BB2813"/>
    <w:rsid w:val="00BB2F74"/>
    <w:rsid w:val="00BB4788"/>
    <w:rsid w:val="00BC56F0"/>
    <w:rsid w:val="00BE0132"/>
    <w:rsid w:val="00BE1793"/>
    <w:rsid w:val="00BF48CF"/>
    <w:rsid w:val="00BF48D9"/>
    <w:rsid w:val="00BF55C6"/>
    <w:rsid w:val="00BF6929"/>
    <w:rsid w:val="00C05CA2"/>
    <w:rsid w:val="00C1070A"/>
    <w:rsid w:val="00C16111"/>
    <w:rsid w:val="00C16568"/>
    <w:rsid w:val="00C224A0"/>
    <w:rsid w:val="00C2465A"/>
    <w:rsid w:val="00C24719"/>
    <w:rsid w:val="00C3122C"/>
    <w:rsid w:val="00C4053F"/>
    <w:rsid w:val="00C4178D"/>
    <w:rsid w:val="00C45776"/>
    <w:rsid w:val="00C55A12"/>
    <w:rsid w:val="00C57150"/>
    <w:rsid w:val="00C6042F"/>
    <w:rsid w:val="00C64021"/>
    <w:rsid w:val="00C66959"/>
    <w:rsid w:val="00C866E3"/>
    <w:rsid w:val="00C91242"/>
    <w:rsid w:val="00C958A9"/>
    <w:rsid w:val="00CA4849"/>
    <w:rsid w:val="00CA594A"/>
    <w:rsid w:val="00CA72D7"/>
    <w:rsid w:val="00CB0243"/>
    <w:rsid w:val="00CB2253"/>
    <w:rsid w:val="00CB790C"/>
    <w:rsid w:val="00CC2474"/>
    <w:rsid w:val="00CC3EDF"/>
    <w:rsid w:val="00CC4138"/>
    <w:rsid w:val="00CD1887"/>
    <w:rsid w:val="00CD2F35"/>
    <w:rsid w:val="00CF04F7"/>
    <w:rsid w:val="00CF09B5"/>
    <w:rsid w:val="00CF49AB"/>
    <w:rsid w:val="00D020F1"/>
    <w:rsid w:val="00D12875"/>
    <w:rsid w:val="00D1371C"/>
    <w:rsid w:val="00D15B56"/>
    <w:rsid w:val="00D22350"/>
    <w:rsid w:val="00D24287"/>
    <w:rsid w:val="00D26E29"/>
    <w:rsid w:val="00D31181"/>
    <w:rsid w:val="00D33CB1"/>
    <w:rsid w:val="00D34F34"/>
    <w:rsid w:val="00D43154"/>
    <w:rsid w:val="00D43D37"/>
    <w:rsid w:val="00D468F9"/>
    <w:rsid w:val="00D47428"/>
    <w:rsid w:val="00D503EC"/>
    <w:rsid w:val="00D5249E"/>
    <w:rsid w:val="00D52536"/>
    <w:rsid w:val="00D55F2E"/>
    <w:rsid w:val="00D64E71"/>
    <w:rsid w:val="00D815DF"/>
    <w:rsid w:val="00D83760"/>
    <w:rsid w:val="00D86ED4"/>
    <w:rsid w:val="00DB476E"/>
    <w:rsid w:val="00DC65EB"/>
    <w:rsid w:val="00DD6F8E"/>
    <w:rsid w:val="00DE68AD"/>
    <w:rsid w:val="00DF312D"/>
    <w:rsid w:val="00E06FEB"/>
    <w:rsid w:val="00E1042C"/>
    <w:rsid w:val="00E20394"/>
    <w:rsid w:val="00E3784A"/>
    <w:rsid w:val="00E54FE6"/>
    <w:rsid w:val="00E65108"/>
    <w:rsid w:val="00E67EA7"/>
    <w:rsid w:val="00E758F5"/>
    <w:rsid w:val="00E7598B"/>
    <w:rsid w:val="00E75DD7"/>
    <w:rsid w:val="00E80CD8"/>
    <w:rsid w:val="00E835AA"/>
    <w:rsid w:val="00E839E8"/>
    <w:rsid w:val="00EA122F"/>
    <w:rsid w:val="00EA67C4"/>
    <w:rsid w:val="00EA7945"/>
    <w:rsid w:val="00EB22F3"/>
    <w:rsid w:val="00EB4781"/>
    <w:rsid w:val="00EB6685"/>
    <w:rsid w:val="00EC0D44"/>
    <w:rsid w:val="00EC310F"/>
    <w:rsid w:val="00ED7871"/>
    <w:rsid w:val="00EE392F"/>
    <w:rsid w:val="00EE7977"/>
    <w:rsid w:val="00F139D5"/>
    <w:rsid w:val="00F13C6E"/>
    <w:rsid w:val="00F2407B"/>
    <w:rsid w:val="00F33E36"/>
    <w:rsid w:val="00F364C6"/>
    <w:rsid w:val="00F3686D"/>
    <w:rsid w:val="00F53B4E"/>
    <w:rsid w:val="00F541C3"/>
    <w:rsid w:val="00F54CE3"/>
    <w:rsid w:val="00F60F15"/>
    <w:rsid w:val="00F70058"/>
    <w:rsid w:val="00F70AC0"/>
    <w:rsid w:val="00F72400"/>
    <w:rsid w:val="00F73CEF"/>
    <w:rsid w:val="00F7481A"/>
    <w:rsid w:val="00F7563F"/>
    <w:rsid w:val="00F862A6"/>
    <w:rsid w:val="00F87DC6"/>
    <w:rsid w:val="00FC19EA"/>
    <w:rsid w:val="00FE0745"/>
    <w:rsid w:val="00FE5D8D"/>
    <w:rsid w:val="017408CD"/>
    <w:rsid w:val="01C631F6"/>
    <w:rsid w:val="02C10E79"/>
    <w:rsid w:val="03504F11"/>
    <w:rsid w:val="05B74771"/>
    <w:rsid w:val="05B74E90"/>
    <w:rsid w:val="05C46A91"/>
    <w:rsid w:val="060C6E4F"/>
    <w:rsid w:val="06721621"/>
    <w:rsid w:val="0826301A"/>
    <w:rsid w:val="08263616"/>
    <w:rsid w:val="085266C3"/>
    <w:rsid w:val="0A876253"/>
    <w:rsid w:val="0A9E51BD"/>
    <w:rsid w:val="0B163C38"/>
    <w:rsid w:val="0D8D295B"/>
    <w:rsid w:val="0E033F8B"/>
    <w:rsid w:val="10BB3DC4"/>
    <w:rsid w:val="11206193"/>
    <w:rsid w:val="112518E3"/>
    <w:rsid w:val="11A16A45"/>
    <w:rsid w:val="11EC4876"/>
    <w:rsid w:val="134925B4"/>
    <w:rsid w:val="145C5320"/>
    <w:rsid w:val="15B7232D"/>
    <w:rsid w:val="16BC7B39"/>
    <w:rsid w:val="17402C07"/>
    <w:rsid w:val="18335288"/>
    <w:rsid w:val="189A54A9"/>
    <w:rsid w:val="190A35A1"/>
    <w:rsid w:val="19322132"/>
    <w:rsid w:val="194B536E"/>
    <w:rsid w:val="19716907"/>
    <w:rsid w:val="19BA718C"/>
    <w:rsid w:val="19D8243D"/>
    <w:rsid w:val="1A935F71"/>
    <w:rsid w:val="1ADC0421"/>
    <w:rsid w:val="1ADE168B"/>
    <w:rsid w:val="1B52576D"/>
    <w:rsid w:val="1C393D1E"/>
    <w:rsid w:val="1EC41167"/>
    <w:rsid w:val="1F3B41CE"/>
    <w:rsid w:val="1F7A6FB1"/>
    <w:rsid w:val="200E1329"/>
    <w:rsid w:val="21741F71"/>
    <w:rsid w:val="230245AD"/>
    <w:rsid w:val="235E1EFD"/>
    <w:rsid w:val="24490F70"/>
    <w:rsid w:val="246918CD"/>
    <w:rsid w:val="25BA5ED0"/>
    <w:rsid w:val="275605DB"/>
    <w:rsid w:val="27EE4691"/>
    <w:rsid w:val="28F413B3"/>
    <w:rsid w:val="28F9395C"/>
    <w:rsid w:val="2AF2365E"/>
    <w:rsid w:val="2B2C422B"/>
    <w:rsid w:val="2BEC169E"/>
    <w:rsid w:val="2C7072E8"/>
    <w:rsid w:val="2DD33654"/>
    <w:rsid w:val="2F5432A5"/>
    <w:rsid w:val="2F8530AA"/>
    <w:rsid w:val="2FB14AB3"/>
    <w:rsid w:val="2FFD56CC"/>
    <w:rsid w:val="30133E3F"/>
    <w:rsid w:val="3081532F"/>
    <w:rsid w:val="319D3AF3"/>
    <w:rsid w:val="32CC4885"/>
    <w:rsid w:val="332663A4"/>
    <w:rsid w:val="332D0D86"/>
    <w:rsid w:val="342C5E0E"/>
    <w:rsid w:val="351154FE"/>
    <w:rsid w:val="35441312"/>
    <w:rsid w:val="35642E51"/>
    <w:rsid w:val="35B52A3B"/>
    <w:rsid w:val="35B733E4"/>
    <w:rsid w:val="36CA11F2"/>
    <w:rsid w:val="3715036C"/>
    <w:rsid w:val="371A47F4"/>
    <w:rsid w:val="37421881"/>
    <w:rsid w:val="37D57125"/>
    <w:rsid w:val="37E000CD"/>
    <w:rsid w:val="3A1A366D"/>
    <w:rsid w:val="3C482027"/>
    <w:rsid w:val="3C742537"/>
    <w:rsid w:val="3CAB1C17"/>
    <w:rsid w:val="3DC101F6"/>
    <w:rsid w:val="3DF53AC0"/>
    <w:rsid w:val="3E12617D"/>
    <w:rsid w:val="3ED41AF0"/>
    <w:rsid w:val="3F960E62"/>
    <w:rsid w:val="3FB47F10"/>
    <w:rsid w:val="40C55B80"/>
    <w:rsid w:val="418B1B16"/>
    <w:rsid w:val="419C5B67"/>
    <w:rsid w:val="41A9059B"/>
    <w:rsid w:val="41B332BA"/>
    <w:rsid w:val="421A4F96"/>
    <w:rsid w:val="42305CCC"/>
    <w:rsid w:val="43297F3D"/>
    <w:rsid w:val="443D69DE"/>
    <w:rsid w:val="44B6424B"/>
    <w:rsid w:val="44EB7788"/>
    <w:rsid w:val="45154CF7"/>
    <w:rsid w:val="45D1178F"/>
    <w:rsid w:val="46943C25"/>
    <w:rsid w:val="47CF456D"/>
    <w:rsid w:val="484C07B1"/>
    <w:rsid w:val="48B27151"/>
    <w:rsid w:val="4A6B76A4"/>
    <w:rsid w:val="4A7C420E"/>
    <w:rsid w:val="4B643D46"/>
    <w:rsid w:val="4B7B200B"/>
    <w:rsid w:val="4B82283D"/>
    <w:rsid w:val="4C4228AE"/>
    <w:rsid w:val="4CA26A3E"/>
    <w:rsid w:val="4D1A4990"/>
    <w:rsid w:val="4DF94CB8"/>
    <w:rsid w:val="4E1C29D4"/>
    <w:rsid w:val="50751AC2"/>
    <w:rsid w:val="514D5652"/>
    <w:rsid w:val="51E51FEA"/>
    <w:rsid w:val="56483C07"/>
    <w:rsid w:val="573C28BF"/>
    <w:rsid w:val="58836646"/>
    <w:rsid w:val="58DE7204"/>
    <w:rsid w:val="58DF15DB"/>
    <w:rsid w:val="598A30B9"/>
    <w:rsid w:val="5B7A50E0"/>
    <w:rsid w:val="5C394CC7"/>
    <w:rsid w:val="5CA875A6"/>
    <w:rsid w:val="5EEE0984"/>
    <w:rsid w:val="5F630A82"/>
    <w:rsid w:val="5F69485A"/>
    <w:rsid w:val="5F8A0420"/>
    <w:rsid w:val="602C2E66"/>
    <w:rsid w:val="60862B2F"/>
    <w:rsid w:val="60A25EAB"/>
    <w:rsid w:val="61472627"/>
    <w:rsid w:val="61B87066"/>
    <w:rsid w:val="6219297F"/>
    <w:rsid w:val="621E4FCD"/>
    <w:rsid w:val="629F758B"/>
    <w:rsid w:val="62E03282"/>
    <w:rsid w:val="639826A5"/>
    <w:rsid w:val="642C2799"/>
    <w:rsid w:val="642E6C59"/>
    <w:rsid w:val="651331D9"/>
    <w:rsid w:val="660C1578"/>
    <w:rsid w:val="66977579"/>
    <w:rsid w:val="66F42721"/>
    <w:rsid w:val="67776E7A"/>
    <w:rsid w:val="67CD705D"/>
    <w:rsid w:val="67DF0EEC"/>
    <w:rsid w:val="6814614D"/>
    <w:rsid w:val="682441E9"/>
    <w:rsid w:val="689C590F"/>
    <w:rsid w:val="68E56825"/>
    <w:rsid w:val="68F37F4A"/>
    <w:rsid w:val="692C6E2A"/>
    <w:rsid w:val="69DB7053"/>
    <w:rsid w:val="69E450AE"/>
    <w:rsid w:val="6A4212D2"/>
    <w:rsid w:val="6B453112"/>
    <w:rsid w:val="6BFC5C5F"/>
    <w:rsid w:val="6D617984"/>
    <w:rsid w:val="6DFC29CE"/>
    <w:rsid w:val="6E3F6DB3"/>
    <w:rsid w:val="6EFA5250"/>
    <w:rsid w:val="6F2179F2"/>
    <w:rsid w:val="6F2803C1"/>
    <w:rsid w:val="6F9D1E2C"/>
    <w:rsid w:val="7144725F"/>
    <w:rsid w:val="72311FE4"/>
    <w:rsid w:val="72695938"/>
    <w:rsid w:val="72C35C47"/>
    <w:rsid w:val="732863F7"/>
    <w:rsid w:val="733E1729"/>
    <w:rsid w:val="74B03643"/>
    <w:rsid w:val="74BB131E"/>
    <w:rsid w:val="74FF2654"/>
    <w:rsid w:val="752D6790"/>
    <w:rsid w:val="75D21A46"/>
    <w:rsid w:val="767A5CE4"/>
    <w:rsid w:val="77E40F61"/>
    <w:rsid w:val="782A3CE8"/>
    <w:rsid w:val="788B1B55"/>
    <w:rsid w:val="78AC769F"/>
    <w:rsid w:val="78E86DC4"/>
    <w:rsid w:val="79784290"/>
    <w:rsid w:val="79811C56"/>
    <w:rsid w:val="7A585DE4"/>
    <w:rsid w:val="7A9D51C7"/>
    <w:rsid w:val="7BF178E3"/>
    <w:rsid w:val="7C001DE0"/>
    <w:rsid w:val="7C6B49A3"/>
    <w:rsid w:val="7CE52314"/>
    <w:rsid w:val="7CF975E8"/>
    <w:rsid w:val="7DAD7BBE"/>
    <w:rsid w:val="7E0C7C34"/>
    <w:rsid w:val="7ECA4B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1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u w:val="single"/>
    </w:rPr>
  </w:style>
  <w:style w:type="paragraph" w:styleId="3">
    <w:name w:val="heading 2"/>
    <w:basedOn w:val="1"/>
    <w:next w:val="1"/>
    <w:link w:val="23"/>
    <w:qFormat/>
    <w:uiPriority w:val="0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paragraph" w:styleId="4">
    <w:name w:val="heading 5"/>
    <w:basedOn w:val="1"/>
    <w:next w:val="1"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5">
    <w:name w:val="heading 6"/>
    <w:basedOn w:val="1"/>
    <w:next w:val="1"/>
    <w:qFormat/>
    <w:uiPriority w:val="0"/>
    <w:pPr>
      <w:keepNext/>
      <w:keepLines/>
      <w:spacing w:before="240" w:after="64" w:line="320" w:lineRule="auto"/>
      <w:outlineLvl w:val="5"/>
    </w:pPr>
    <w:rPr>
      <w:rFonts w:ascii="Arial" w:hAnsi="Arial" w:eastAsia="黑体"/>
      <w:b/>
      <w:bCs/>
      <w:sz w:val="24"/>
      <w:szCs w:val="24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semiHidden/>
    <w:qFormat/>
    <w:uiPriority w:val="0"/>
    <w:pPr>
      <w:jc w:val="left"/>
    </w:pPr>
  </w:style>
  <w:style w:type="paragraph" w:styleId="7">
    <w:name w:val="Body Text"/>
    <w:basedOn w:val="1"/>
    <w:qFormat/>
    <w:uiPriority w:val="0"/>
    <w:rPr>
      <w:sz w:val="24"/>
    </w:rPr>
  </w:style>
  <w:style w:type="paragraph" w:styleId="8">
    <w:name w:val="Plain Text"/>
    <w:basedOn w:val="1"/>
    <w:qFormat/>
    <w:uiPriority w:val="0"/>
    <w:rPr>
      <w:rFonts w:ascii="宋体" w:hAnsi="Courier New"/>
    </w:rPr>
  </w:style>
  <w:style w:type="paragraph" w:styleId="9">
    <w:name w:val="Date"/>
    <w:basedOn w:val="1"/>
    <w:next w:val="1"/>
    <w:qFormat/>
    <w:uiPriority w:val="0"/>
    <w:pPr>
      <w:ind w:left="100" w:leftChars="2500"/>
    </w:pPr>
  </w:style>
  <w:style w:type="paragraph" w:styleId="10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11">
    <w:name w:val="Balloon Text"/>
    <w:basedOn w:val="1"/>
    <w:semiHidden/>
    <w:qFormat/>
    <w:uiPriority w:val="0"/>
    <w:rPr>
      <w:sz w:val="18"/>
      <w:szCs w:val="18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5">
    <w:name w:val="Title"/>
    <w:basedOn w:val="1"/>
    <w:qFormat/>
    <w:uiPriority w:val="0"/>
    <w:pPr>
      <w:jc w:val="center"/>
    </w:pPr>
    <w:rPr>
      <w:sz w:val="32"/>
      <w:u w:val="single"/>
    </w:rPr>
  </w:style>
  <w:style w:type="table" w:styleId="17">
    <w:name w:val="Table Grid"/>
    <w:basedOn w:val="16"/>
    <w:qFormat/>
    <w:uiPriority w:val="0"/>
    <w:pPr>
      <w:keepLines/>
      <w:suppressLineNumbers/>
      <w:suppressAutoHyphens/>
      <w:spacing w:line="280" w:lineRule="atLeast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page number"/>
    <w:basedOn w:val="18"/>
    <w:qFormat/>
    <w:uiPriority w:val="0"/>
  </w:style>
  <w:style w:type="character" w:styleId="20">
    <w:name w:val="FollowedHyperlink"/>
    <w:qFormat/>
    <w:uiPriority w:val="0"/>
    <w:rPr>
      <w:color w:val="800080"/>
      <w:u w:val="single"/>
    </w:rPr>
  </w:style>
  <w:style w:type="character" w:styleId="21">
    <w:name w:val="Hyperlink"/>
    <w:qFormat/>
    <w:uiPriority w:val="0"/>
    <w:rPr>
      <w:color w:val="0000FF"/>
      <w:u w:val="single"/>
    </w:rPr>
  </w:style>
  <w:style w:type="character" w:styleId="22">
    <w:name w:val="annotation reference"/>
    <w:semiHidden/>
    <w:qFormat/>
    <w:uiPriority w:val="0"/>
    <w:rPr>
      <w:sz w:val="21"/>
      <w:szCs w:val="21"/>
    </w:rPr>
  </w:style>
  <w:style w:type="character" w:customStyle="1" w:styleId="23">
    <w:name w:val="标题 2 Char"/>
    <w:link w:val="3"/>
    <w:semiHidden/>
    <w:qFormat/>
    <w:uiPriority w:val="0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paragraph" w:customStyle="1" w:styleId="24">
    <w:name w:val="1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楷体_GB2312"/>
      <w:b/>
      <w:i/>
      <w:iCs/>
      <w:color w:val="000000"/>
      <w:kern w:val="0"/>
      <w:sz w:val="20"/>
      <w:lang w:eastAsia="en-US"/>
    </w:rPr>
  </w:style>
  <w:style w:type="paragraph" w:customStyle="1" w:styleId="25">
    <w:name w:val="CM2"/>
    <w:basedOn w:val="26"/>
    <w:next w:val="26"/>
    <w:qFormat/>
    <w:uiPriority w:val="0"/>
    <w:pPr>
      <w:spacing w:line="313" w:lineRule="atLeast"/>
    </w:pPr>
    <w:rPr>
      <w:color w:val="auto"/>
    </w:rPr>
  </w:style>
  <w:style w:type="paragraph" w:customStyle="1" w:styleId="26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27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3726</Words>
  <Characters>4283</Characters>
  <Lines>24</Lines>
  <Paragraphs>6</Paragraphs>
  <TotalTime>180</TotalTime>
  <ScaleCrop>false</ScaleCrop>
  <LinksUpToDate>false</LinksUpToDate>
  <CharactersWithSpaces>4576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2020-12-01T02:40:00Z</dcterms:created>
  <dc:creator>Wth</dc:creator>
  <cp:keywords>协议帽子</cp:keywords>
  <cp:lastModifiedBy>ASUS</cp:lastModifiedBy>
  <cp:lastPrinted>2022-09-29T01:12:00Z</cp:lastPrinted>
  <dcterms:modified xsi:type="dcterms:W3CDTF">2025-07-30T06:29:01Z</dcterms:modified>
  <dc:title>福建海监船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C3FC0A47A9544D159B721EA72F813E6F_13</vt:lpwstr>
  </property>
  <property fmtid="{D5CDD505-2E9C-101B-9397-08002B2CF9AE}" pid="4" name="KSOTemplateDocerSaveRecord">
    <vt:lpwstr>eyJoZGlkIjoiMTNjZjIwOTRkODI1YTE4YzI5NDYzZWJkNmRmMjEyMTkifQ==</vt:lpwstr>
  </property>
</Properties>
</file>